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E07BE" w14:textId="77777777" w:rsidR="00E40DC1" w:rsidRPr="00E40DC1" w:rsidRDefault="00E40DC1" w:rsidP="00510395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0" w:color="auto"/>
        </w:pBdr>
        <w:shd w:val="clear" w:color="auto" w:fill="CCFFCC"/>
        <w:spacing w:after="0" w:line="312" w:lineRule="auto"/>
        <w:contextualSpacing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</w:pPr>
    </w:p>
    <w:p w14:paraId="12679125" w14:textId="7B5ED345" w:rsidR="00EF0D0C" w:rsidRPr="00E40DC1" w:rsidRDefault="00BE1DB3" w:rsidP="00510395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0" w:color="auto"/>
        </w:pBdr>
        <w:shd w:val="clear" w:color="auto" w:fill="CCFFCC"/>
        <w:spacing w:after="0" w:line="312" w:lineRule="auto"/>
        <w:contextualSpacing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>Fac-simile d</w:t>
      </w:r>
      <w:r w:rsidR="00B82C9D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>ichiarazione in merito alle</w:t>
      </w:r>
      <w:bookmarkStart w:id="0" w:name="_GoBack"/>
      <w:bookmarkEnd w:id="0"/>
      <w:r w:rsidR="00C372D9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 xml:space="preserve"> voci di costo</w:t>
      </w:r>
    </w:p>
    <w:p w14:paraId="6184F7AB" w14:textId="77777777" w:rsidR="00FE3754" w:rsidRPr="00E40DC1" w:rsidRDefault="00FE3754" w:rsidP="00502832">
      <w:pPr>
        <w:tabs>
          <w:tab w:val="left" w:pos="5387"/>
          <w:tab w:val="left" w:pos="6521"/>
        </w:tabs>
        <w:spacing w:after="0" w:line="312" w:lineRule="auto"/>
        <w:ind w:right="-285"/>
        <w:contextualSpacing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b/>
          <w:sz w:val="20"/>
          <w:szCs w:val="20"/>
          <w:lang w:eastAsia="it-IT"/>
        </w:rPr>
        <w:tab/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6436"/>
      </w:tblGrid>
      <w:tr w:rsidR="00852438" w14:paraId="44B7F6A6" w14:textId="77777777" w:rsidTr="00510395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A2E6" w14:textId="77777777" w:rsidR="00852438" w:rsidRDefault="00852438">
            <w:pPr>
              <w:suppressAutoHyphens/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bookmarkStart w:id="1" w:name="_Hlk137732081"/>
            <w:r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7D8F4611" w14:textId="77777777" w:rsidR="00852438" w:rsidRDefault="00852438">
            <w:pPr>
              <w:suppressAutoHyphens/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E565" w14:textId="77777777" w:rsidR="00852438" w:rsidRDefault="00852438">
            <w:pPr>
              <w:spacing w:after="0" w:line="240" w:lineRule="auto"/>
              <w:ind w:left="-3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OGGETTO: </w:t>
            </w:r>
            <w:bookmarkStart w:id="2" w:name="_Toc137201709"/>
            <w:r>
              <w:rPr>
                <w:rFonts w:ascii="Century Gothic" w:hAnsi="Century Gothic"/>
                <w:sz w:val="20"/>
                <w:szCs w:val="20"/>
              </w:rPr>
              <w:t>Rif. Avviso pubblico n. 3264 del 28.12.2021 del Ministero dell’Università per la presentazione di proposte progettuali per il “Rafforzamento e creazione di Infrastrutture di Ricerca” da finanziare nell’ambito del Piano Nazionale di Ripresa e Resilienza - Missione 4, “Istruzione e Ricerca” - Componente 2, “Dalla ricerca all’impresa” - Linea di investimento 3.1, “Fondo per la realizzazione</w:t>
            </w:r>
            <w:bookmarkEnd w:id="2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bookmarkStart w:id="3" w:name="_Toc137201710"/>
            <w:r>
              <w:rPr>
                <w:rFonts w:ascii="Century Gothic" w:hAnsi="Century Gothic"/>
                <w:sz w:val="20"/>
                <w:szCs w:val="20"/>
              </w:rPr>
              <w:t>di un sistema integrato di infrastrutture di ricerca e innovazione” - Azione di riferimento 3.1.1, “Creazione di nuove IR o potenziamento di quelle esistenti che concorrono agli obiettivi di Eccellenza Scientifica di Horizon Europe e costituzione di reti” di cui al D.M. 7 ottobre 2021, n. 1141.</w:t>
            </w:r>
            <w:bookmarkStart w:id="4" w:name="_Toc507419968"/>
            <w:bookmarkStart w:id="5" w:name="_Toc137201711"/>
            <w:bookmarkEnd w:id="3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1905132" w14:textId="77777777" w:rsidR="00852438" w:rsidRDefault="00852438">
            <w:pPr>
              <w:spacing w:after="0" w:line="240" w:lineRule="auto"/>
              <w:ind w:left="-3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87CE98" w14:textId="77777777" w:rsidR="00852438" w:rsidRDefault="00852438">
            <w:pPr>
              <w:spacing w:after="0" w:line="240" w:lineRule="auto"/>
              <w:ind w:left="-3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Denominazione progetto finanziato: </w:t>
            </w:r>
            <w:bookmarkEnd w:id="4"/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Infrastructure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ENergy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TRAnsition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aNd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Circular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Economy @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EuroNanoLab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iENTRANCE@ENL</w:t>
            </w:r>
            <w:bookmarkEnd w:id="5"/>
            <w:proofErr w:type="spellEnd"/>
          </w:p>
          <w:p w14:paraId="7D0D787A" w14:textId="77777777" w:rsidR="00852438" w:rsidRDefault="00852438">
            <w:pPr>
              <w:spacing w:after="0" w:line="240" w:lineRule="auto"/>
              <w:ind w:left="-3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8D3E9AB" w14:textId="77777777" w:rsidR="00852438" w:rsidRDefault="00852438">
            <w:pPr>
              <w:spacing w:after="0" w:line="240" w:lineRule="auto"/>
              <w:ind w:left="-3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Gara europea a procedura aperta ai sensi dell’art. 60, D.lgs. 50/2016 e ss.mm.ii. per l’affidamento della fornitura di “un diffrattometro a raggi x ottimizzato per misure elettrochimiche in-operando” - CIG: 98866967A2 CUI: F00518460019202300062 CUP: B33C22000710006</w:t>
            </w:r>
          </w:p>
        </w:tc>
        <w:bookmarkEnd w:id="1"/>
      </w:tr>
    </w:tbl>
    <w:p w14:paraId="4D8376D0" w14:textId="0ABA3AB8" w:rsidR="00FE3754" w:rsidRPr="00E40DC1" w:rsidRDefault="00FE3754" w:rsidP="00E40DC1">
      <w:pPr>
        <w:tabs>
          <w:tab w:val="left" w:pos="5387"/>
          <w:tab w:val="left" w:pos="6521"/>
        </w:tabs>
        <w:spacing w:after="0" w:line="312" w:lineRule="auto"/>
        <w:ind w:right="-285"/>
        <w:contextualSpacing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4771E2CD" w14:textId="77777777" w:rsidR="00FE3754" w:rsidRPr="00E40DC1" w:rsidRDefault="00FE3754" w:rsidP="00502832">
      <w:pPr>
        <w:tabs>
          <w:tab w:val="left" w:pos="6521"/>
          <w:tab w:val="left" w:pos="6804"/>
        </w:tabs>
        <w:spacing w:after="0" w:line="312" w:lineRule="auto"/>
        <w:ind w:right="-1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</w:r>
      <w:r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Spett. le Politecnico di Torino</w:t>
      </w:r>
    </w:p>
    <w:p w14:paraId="7716B91F" w14:textId="47B12DF8" w:rsidR="00FE3754" w:rsidRPr="00E40DC1" w:rsidRDefault="00FE3754" w:rsidP="00502832">
      <w:pPr>
        <w:tabs>
          <w:tab w:val="left" w:pos="6521"/>
          <w:tab w:val="left" w:pos="6804"/>
        </w:tabs>
        <w:spacing w:after="0" w:line="312" w:lineRule="auto"/>
        <w:ind w:right="-1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</w:t>
      </w:r>
      <w:r w:rsidR="001417E3"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                       </w:t>
      </w:r>
      <w:r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Area </w:t>
      </w:r>
      <w:r w:rsidR="00B2076D"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AGACON</w:t>
      </w:r>
      <w:r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                                                                                                       </w:t>
      </w:r>
      <w:r w:rsidR="00095421"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                      </w:t>
      </w:r>
      <w:r w:rsidR="00FF46F8"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</w:t>
      </w:r>
      <w:r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Ufficio Appalti</w:t>
      </w:r>
    </w:p>
    <w:p w14:paraId="3DC8D49F" w14:textId="1206A6D0" w:rsidR="00FE3754" w:rsidRPr="00E40DC1" w:rsidRDefault="00FE3754" w:rsidP="00502832">
      <w:pPr>
        <w:tabs>
          <w:tab w:val="left" w:pos="6521"/>
          <w:tab w:val="left" w:pos="6804"/>
        </w:tabs>
        <w:spacing w:after="0" w:line="312" w:lineRule="auto"/>
        <w:ind w:right="-1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Corso Duca degli Abruzzi n° 24</w:t>
      </w:r>
    </w:p>
    <w:p w14:paraId="1A63D5C7" w14:textId="733D4ED8" w:rsidR="0039346E" w:rsidRPr="00E40DC1" w:rsidRDefault="00095421" w:rsidP="00502832">
      <w:pPr>
        <w:tabs>
          <w:tab w:val="left" w:pos="6521"/>
          <w:tab w:val="left" w:pos="6804"/>
        </w:tabs>
        <w:spacing w:after="0" w:line="312" w:lineRule="auto"/>
        <w:ind w:right="-1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                     </w:t>
      </w:r>
      <w:r w:rsidR="00FF46F8"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</w:t>
      </w:r>
      <w:r w:rsidR="00FE3754"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10129 – Torino</w:t>
      </w:r>
    </w:p>
    <w:p w14:paraId="49FCB825" w14:textId="77777777" w:rsidR="0039346E" w:rsidRPr="00E40DC1" w:rsidRDefault="0039346E" w:rsidP="00502832">
      <w:pPr>
        <w:tabs>
          <w:tab w:val="left" w:pos="6521"/>
          <w:tab w:val="left" w:pos="6804"/>
        </w:tabs>
        <w:spacing w:after="0" w:line="312" w:lineRule="auto"/>
        <w:ind w:right="-285"/>
        <w:contextualSpacing/>
        <w:jc w:val="both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</w:p>
    <w:p w14:paraId="06E17201" w14:textId="77777777" w:rsidR="00FE3754" w:rsidRPr="00E40DC1" w:rsidRDefault="00FE3754" w:rsidP="00502832">
      <w:pPr>
        <w:widowControl w:val="0"/>
        <w:tabs>
          <w:tab w:val="right" w:leader="underscore" w:pos="9648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Il sottoscritto </w:t>
      </w: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11DF3C46" w14:textId="77777777" w:rsidR="00FE3754" w:rsidRPr="00E40DC1" w:rsidRDefault="00FE3754" w:rsidP="00502832">
      <w:pPr>
        <w:widowControl w:val="0"/>
        <w:tabs>
          <w:tab w:val="left" w:leader="underscore" w:pos="2552"/>
          <w:tab w:val="left" w:leader="underscore" w:pos="9672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nato a </w:t>
      </w: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ab/>
        <w:t>____________________________________ (Pr) _______________________</w:t>
      </w:r>
      <w:r w:rsidR="00D258D5"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</w:p>
    <w:p w14:paraId="3C180DD7" w14:textId="78FFAF5C" w:rsidR="00FE3754" w:rsidRPr="00E40DC1" w:rsidRDefault="00FE3754" w:rsidP="00502832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il _______________________ in qualità di ______________________________</w:t>
      </w:r>
      <w:r w:rsidR="00D258D5"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___</w:t>
      </w: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(indicare la carica sociale) della società ____________________________________________________________________________</w:t>
      </w:r>
      <w:r w:rsidR="00D258D5"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  <w:r w:rsidR="0052132B">
        <w:rPr>
          <w:rFonts w:ascii="Century Gothic" w:eastAsia="Calibri" w:hAnsi="Century Gothic" w:cs="Times New Roman"/>
          <w:sz w:val="20"/>
          <w:szCs w:val="20"/>
          <w:lang w:eastAsia="it-IT"/>
        </w:rPr>
        <w:t>_____</w:t>
      </w:r>
    </w:p>
    <w:p w14:paraId="01D7C4BB" w14:textId="256F6BAF" w:rsidR="00FE3754" w:rsidRPr="00E40DC1" w:rsidRDefault="00FE3754" w:rsidP="00502832">
      <w:pPr>
        <w:widowControl w:val="0"/>
        <w:tabs>
          <w:tab w:val="right" w:leader="underscore" w:pos="9648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con sede legale in________________________________________________________________________</w:t>
      </w:r>
      <w:r w:rsidR="00D258D5"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  <w:r w:rsidR="0052132B">
        <w:rPr>
          <w:rFonts w:ascii="Century Gothic" w:eastAsia="Calibri" w:hAnsi="Century Gothic" w:cs="Times New Roman"/>
          <w:sz w:val="20"/>
          <w:szCs w:val="20"/>
          <w:lang w:eastAsia="it-IT"/>
        </w:rPr>
        <w:t>_____</w:t>
      </w:r>
    </w:p>
    <w:p w14:paraId="4DA2E252" w14:textId="77777777" w:rsidR="00FE3754" w:rsidRPr="00E40DC1" w:rsidRDefault="00FE3754" w:rsidP="00502832">
      <w:pPr>
        <w:widowControl w:val="0"/>
        <w:tabs>
          <w:tab w:val="right" w:leader="underscore" w:pos="9648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con sede operativa in </w:t>
      </w: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7CD139F5" w14:textId="255FAFE1" w:rsidR="00FE3754" w:rsidRPr="00E40DC1" w:rsidRDefault="00FE3754" w:rsidP="00502832">
      <w:pPr>
        <w:widowControl w:val="0"/>
        <w:tabs>
          <w:tab w:val="left" w:leader="underscore" w:pos="4536"/>
          <w:tab w:val="right" w:leader="underscore" w:pos="9600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n. t</w:t>
      </w:r>
      <w:r w:rsidR="008A24E3"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elefono ____________</w:t>
      </w: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n. </w:t>
      </w:r>
      <w:r w:rsidR="008A24E3"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fax _______________ </w:t>
      </w:r>
      <w:proofErr w:type="spellStart"/>
      <w:r w:rsidR="008A24E3"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cell</w:t>
      </w:r>
      <w:proofErr w:type="spellEnd"/>
      <w:r w:rsidR="008A24E3"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. ________________</w:t>
      </w: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e-mail</w:t>
      </w:r>
      <w:r w:rsidR="008A24E3"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____________________</w:t>
      </w:r>
      <w:r w:rsidR="0052132B">
        <w:rPr>
          <w:rFonts w:ascii="Century Gothic" w:eastAsia="Calibri" w:hAnsi="Century Gothic" w:cs="Times New Roman"/>
          <w:sz w:val="20"/>
          <w:szCs w:val="20"/>
          <w:lang w:eastAsia="it-IT"/>
        </w:rPr>
        <w:t>___</w:t>
      </w:r>
    </w:p>
    <w:p w14:paraId="01A95881" w14:textId="77777777" w:rsidR="00FE3754" w:rsidRPr="00E40DC1" w:rsidRDefault="00FE3754" w:rsidP="00502832">
      <w:pPr>
        <w:widowControl w:val="0"/>
        <w:tabs>
          <w:tab w:val="right" w:leader="underscore" w:pos="9648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sito web </w:t>
      </w: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58B500F0" w14:textId="77777777" w:rsidR="00FE3754" w:rsidRPr="00E40DC1" w:rsidRDefault="00FE3754" w:rsidP="00502832">
      <w:pPr>
        <w:widowControl w:val="0"/>
        <w:tabs>
          <w:tab w:val="right" w:leader="underscore" w:pos="9624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Codice Fiscale </w:t>
      </w: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32F1DA3F" w14:textId="543095E5" w:rsidR="00FE3754" w:rsidRDefault="00FE3754" w:rsidP="00502832">
      <w:pPr>
        <w:widowControl w:val="0"/>
        <w:tabs>
          <w:tab w:val="right" w:leader="underscore" w:pos="9600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partita IVA n. </w:t>
      </w: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66F35312" w14:textId="082EF190" w:rsidR="0052132B" w:rsidRPr="00E40DC1" w:rsidRDefault="0052132B" w:rsidP="00502832">
      <w:pPr>
        <w:widowControl w:val="0"/>
        <w:tabs>
          <w:tab w:val="right" w:leader="underscore" w:pos="9600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>
        <w:rPr>
          <w:rFonts w:ascii="Century Gothic" w:eastAsia="Calibri" w:hAnsi="Century Gothic" w:cs="Times New Roman"/>
          <w:sz w:val="20"/>
          <w:szCs w:val="20"/>
          <w:lang w:eastAsia="it-IT"/>
        </w:rPr>
        <w:t>Settore produttivo del CCNL applicato _________________________________________________________</w:t>
      </w:r>
    </w:p>
    <w:p w14:paraId="5DEC9B50" w14:textId="16135E39" w:rsidR="000900F8" w:rsidRDefault="000900F8" w:rsidP="00502832">
      <w:pPr>
        <w:tabs>
          <w:tab w:val="left" w:pos="0"/>
        </w:tabs>
        <w:spacing w:after="0" w:line="312" w:lineRule="auto"/>
        <w:contextualSpacing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14:paraId="73A1E605" w14:textId="459ECC85" w:rsidR="00AF31EA" w:rsidRDefault="00AF31EA" w:rsidP="00AF31EA">
      <w:pPr>
        <w:tabs>
          <w:tab w:val="left" w:pos="0"/>
        </w:tabs>
        <w:spacing w:after="0" w:line="312" w:lineRule="auto"/>
        <w:contextualSpacing/>
        <w:jc w:val="both"/>
        <w:rPr>
          <w:rFonts w:ascii="Century Gothic" w:eastAsia="Times New Roman" w:hAnsi="Century Gothic" w:cs="Arial"/>
          <w:i/>
          <w:sz w:val="20"/>
          <w:szCs w:val="20"/>
          <w:lang w:eastAsia="it-IT"/>
        </w:rPr>
      </w:pPr>
      <w:r w:rsidRPr="00AF31EA">
        <w:rPr>
          <w:rFonts w:ascii="Century Gothic" w:eastAsia="Times New Roman" w:hAnsi="Century Gothic" w:cs="Arial"/>
          <w:i/>
          <w:sz w:val="20"/>
          <w:szCs w:val="20"/>
          <w:lang w:eastAsia="it-IT"/>
        </w:rPr>
        <w:t xml:space="preserve">Al fine di concorrere all’aggiudicazione del contratto per l’affidamento della fornitura indicata in oggetto </w:t>
      </w:r>
    </w:p>
    <w:p w14:paraId="43A84ADD" w14:textId="77777777" w:rsidR="001804A5" w:rsidRDefault="00E77EDD" w:rsidP="00E77EDD">
      <w:pPr>
        <w:tabs>
          <w:tab w:val="left" w:pos="0"/>
        </w:tabs>
        <w:spacing w:after="0" w:line="312" w:lineRule="auto"/>
        <w:contextualSpacing/>
        <w:jc w:val="center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b/>
          <w:sz w:val="20"/>
          <w:szCs w:val="20"/>
          <w:lang w:eastAsia="it-IT"/>
        </w:rPr>
        <w:lastRenderedPageBreak/>
        <w:t>OFFRE</w:t>
      </w:r>
      <w:r w:rsidR="001804A5">
        <w:rPr>
          <w:rFonts w:ascii="Century Gothic" w:eastAsia="Times New Roman" w:hAnsi="Century Gothic" w:cs="Arial"/>
          <w:b/>
          <w:sz w:val="20"/>
          <w:szCs w:val="20"/>
          <w:lang w:eastAsia="it-IT"/>
        </w:rPr>
        <w:t xml:space="preserve"> </w:t>
      </w:r>
    </w:p>
    <w:p w14:paraId="5921ACF4" w14:textId="52D52B57" w:rsidR="00E77EDD" w:rsidRPr="001804A5" w:rsidRDefault="001804A5" w:rsidP="00E77EDD">
      <w:pPr>
        <w:tabs>
          <w:tab w:val="left" w:pos="0"/>
        </w:tabs>
        <w:spacing w:after="0" w:line="312" w:lineRule="auto"/>
        <w:contextualSpacing/>
        <w:jc w:val="center"/>
        <w:rPr>
          <w:rFonts w:ascii="Century Gothic" w:eastAsia="Times New Roman" w:hAnsi="Century Gothic" w:cs="Arial"/>
          <w:i/>
          <w:sz w:val="16"/>
          <w:szCs w:val="16"/>
          <w:lang w:eastAsia="it-IT"/>
        </w:rPr>
      </w:pPr>
      <w:r w:rsidRPr="001804A5">
        <w:rPr>
          <w:rFonts w:ascii="Century Gothic" w:eastAsia="Times New Roman" w:hAnsi="Century Gothic" w:cs="Arial"/>
          <w:i/>
          <w:sz w:val="16"/>
          <w:szCs w:val="16"/>
          <w:lang w:eastAsia="it-IT"/>
        </w:rPr>
        <w:t xml:space="preserve">(il ribasso indicato </w:t>
      </w:r>
      <w:r>
        <w:rPr>
          <w:rFonts w:ascii="Century Gothic" w:eastAsia="Times New Roman" w:hAnsi="Century Gothic" w:cs="Arial"/>
          <w:i/>
          <w:sz w:val="16"/>
          <w:szCs w:val="16"/>
          <w:lang w:eastAsia="it-IT"/>
        </w:rPr>
        <w:t xml:space="preserve">nella tabella sottostante </w:t>
      </w:r>
      <w:r w:rsidRPr="001804A5">
        <w:rPr>
          <w:rFonts w:ascii="Century Gothic" w:eastAsia="Times New Roman" w:hAnsi="Century Gothic" w:cs="Arial"/>
          <w:i/>
          <w:sz w:val="16"/>
          <w:szCs w:val="16"/>
          <w:lang w:eastAsia="it-IT"/>
        </w:rPr>
        <w:t>deve corrispondere a quello indicato sulla Piattaforma di negoziazione)</w:t>
      </w:r>
    </w:p>
    <w:p w14:paraId="7818E2F4" w14:textId="77777777" w:rsidR="00E77EDD" w:rsidRPr="00AF31EA" w:rsidRDefault="00E77EDD" w:rsidP="00AF31EA">
      <w:pPr>
        <w:tabs>
          <w:tab w:val="left" w:pos="0"/>
        </w:tabs>
        <w:spacing w:after="0" w:line="312" w:lineRule="auto"/>
        <w:contextualSpacing/>
        <w:jc w:val="both"/>
        <w:rPr>
          <w:rFonts w:ascii="Century Gothic" w:eastAsia="Times New Roman" w:hAnsi="Century Gothic" w:cs="Arial"/>
          <w:i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2268"/>
        <w:gridCol w:w="2262"/>
      </w:tblGrid>
      <w:tr w:rsidR="00E77EDD" w:rsidRPr="00E40DC1" w14:paraId="42F8AEAF" w14:textId="77777777" w:rsidTr="0008748E">
        <w:trPr>
          <w:trHeight w:val="929"/>
        </w:trPr>
        <w:tc>
          <w:tcPr>
            <w:tcW w:w="5098" w:type="dxa"/>
            <w:vMerge w:val="restart"/>
            <w:shd w:val="clear" w:color="auto" w:fill="8DB3E2" w:themeFill="text2" w:themeFillTint="66"/>
          </w:tcPr>
          <w:p w14:paraId="12EAC322" w14:textId="77777777" w:rsidR="00E77EDD" w:rsidRPr="00E40DC1" w:rsidRDefault="00E77EDD" w:rsidP="0008748E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534C9CFB" w14:textId="77777777" w:rsidR="00E77EDD" w:rsidRPr="00E40DC1" w:rsidRDefault="00E77EDD" w:rsidP="0008748E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3D2F3AC6" w14:textId="77777777" w:rsidR="00E77EDD" w:rsidRPr="00E40DC1" w:rsidRDefault="00E77EDD" w:rsidP="0008748E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530" w:type="dxa"/>
            <w:gridSpan w:val="2"/>
            <w:shd w:val="clear" w:color="auto" w:fill="8DB3E2" w:themeFill="text2" w:themeFillTint="66"/>
          </w:tcPr>
          <w:p w14:paraId="57EEA5DB" w14:textId="77777777" w:rsidR="00E77EDD" w:rsidRPr="00E40DC1" w:rsidRDefault="00E77EDD" w:rsidP="0008748E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795D99EC" w14:textId="77777777" w:rsidR="00E77EDD" w:rsidRDefault="00E77EDD" w:rsidP="0008748E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E40DC1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PERCENTUALE DI RIBASSO </w:t>
            </w:r>
          </w:p>
          <w:p w14:paraId="16E6EAFF" w14:textId="77777777" w:rsidR="00E77EDD" w:rsidRPr="00E40DC1" w:rsidRDefault="00E77EDD" w:rsidP="0008748E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E40DC1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da applicare</w:t>
            </w:r>
          </w:p>
          <w:p w14:paraId="33D200A5" w14:textId="77777777" w:rsidR="00E77EDD" w:rsidRPr="00E40DC1" w:rsidRDefault="00E77EDD" w:rsidP="0008748E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E40DC1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all’importo posto a base di gara</w:t>
            </w: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 soggetto a ribasso</w:t>
            </w:r>
          </w:p>
          <w:p w14:paraId="1A6F82C6" w14:textId="77777777" w:rsidR="00E77EDD" w:rsidRPr="00E40DC1" w:rsidRDefault="00E77EDD" w:rsidP="0008748E">
            <w:pPr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E77EDD" w:rsidRPr="00E40DC1" w14:paraId="310FB12D" w14:textId="77777777" w:rsidTr="0008748E">
        <w:tc>
          <w:tcPr>
            <w:tcW w:w="5098" w:type="dxa"/>
            <w:vMerge/>
            <w:shd w:val="clear" w:color="auto" w:fill="8DB3E2" w:themeFill="text2" w:themeFillTint="66"/>
          </w:tcPr>
          <w:p w14:paraId="595257B9" w14:textId="77777777" w:rsidR="00E77EDD" w:rsidRPr="00E40DC1" w:rsidRDefault="00E77EDD" w:rsidP="0008748E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8DB3E2" w:themeFill="text2" w:themeFillTint="66"/>
          </w:tcPr>
          <w:p w14:paraId="46FC407A" w14:textId="77777777" w:rsidR="00E77EDD" w:rsidRPr="00E40DC1" w:rsidRDefault="00E77EDD" w:rsidP="0008748E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56427437" w14:textId="77777777" w:rsidR="00E77EDD" w:rsidRPr="00E40DC1" w:rsidRDefault="00E77EDD" w:rsidP="0008748E">
            <w:pPr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E40DC1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IN CIFRE </w:t>
            </w:r>
          </w:p>
        </w:tc>
        <w:tc>
          <w:tcPr>
            <w:tcW w:w="2262" w:type="dxa"/>
            <w:shd w:val="clear" w:color="auto" w:fill="8DB3E2" w:themeFill="text2" w:themeFillTint="66"/>
          </w:tcPr>
          <w:p w14:paraId="4E715166" w14:textId="77777777" w:rsidR="00E77EDD" w:rsidRPr="00E40DC1" w:rsidRDefault="00E77EDD" w:rsidP="0008748E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6C4C93B6" w14:textId="77777777" w:rsidR="00E77EDD" w:rsidRPr="00E40DC1" w:rsidRDefault="00E77EDD" w:rsidP="0008748E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E40DC1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IN LETTERE</w:t>
            </w:r>
          </w:p>
          <w:p w14:paraId="50CBAF44" w14:textId="77777777" w:rsidR="00E77EDD" w:rsidRPr="00E40DC1" w:rsidRDefault="00E77EDD" w:rsidP="0008748E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E77EDD" w:rsidRPr="00E562B3" w14:paraId="786C76CD" w14:textId="77777777" w:rsidTr="0008748E">
        <w:tc>
          <w:tcPr>
            <w:tcW w:w="5098" w:type="dxa"/>
          </w:tcPr>
          <w:p w14:paraId="420CCD49" w14:textId="4043A982" w:rsidR="00E77EDD" w:rsidRPr="00E77EDD" w:rsidRDefault="00E77EDD" w:rsidP="00E77EDD">
            <w:pPr>
              <w:pStyle w:val="Paragrafoelenco"/>
              <w:numPr>
                <w:ilvl w:val="0"/>
                <w:numId w:val="8"/>
              </w:numPr>
              <w:spacing w:line="312" w:lineRule="auto"/>
              <w:ind w:left="316" w:hanging="316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6" w:name="_Hlk121758132"/>
            <w:r w:rsidRPr="009A580D">
              <w:rPr>
                <w:rFonts w:ascii="Century Gothic" w:hAnsi="Century Gothic"/>
                <w:sz w:val="20"/>
                <w:szCs w:val="20"/>
              </w:rPr>
              <w:t>Ribasso percentuale offerto da applicare all’importo posto a base di gara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soggetto a ribasso</w:t>
            </w:r>
            <w:bookmarkEnd w:id="6"/>
            <w:r w:rsidRPr="00E77EDD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002C3D5E" w14:textId="77777777" w:rsidR="00E77EDD" w:rsidRPr="00E40DC1" w:rsidRDefault="00E77EDD" w:rsidP="0008748E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3C3AFC71" w14:textId="77777777" w:rsidR="00E77EDD" w:rsidRPr="00E40DC1" w:rsidRDefault="00E77EDD" w:rsidP="0008748E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62" w:type="dxa"/>
          </w:tcPr>
          <w:p w14:paraId="3DF344DB" w14:textId="77777777" w:rsidR="00E77EDD" w:rsidRDefault="00E77EDD" w:rsidP="0008748E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38A56A90" w14:textId="77777777" w:rsidR="00E77EDD" w:rsidRPr="00E562B3" w:rsidRDefault="00E77EDD" w:rsidP="0008748E">
            <w:pPr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</w:pPr>
          </w:p>
          <w:p w14:paraId="3CF5EA75" w14:textId="77777777" w:rsidR="00E77EDD" w:rsidRDefault="00E77EDD" w:rsidP="0008748E">
            <w:pPr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</w:pPr>
          </w:p>
          <w:p w14:paraId="413063AB" w14:textId="77777777" w:rsidR="00E77EDD" w:rsidRPr="00E562B3" w:rsidRDefault="00E77EDD" w:rsidP="0008748E">
            <w:pPr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</w:pPr>
          </w:p>
        </w:tc>
      </w:tr>
    </w:tbl>
    <w:p w14:paraId="29C95BEE" w14:textId="77777777" w:rsidR="00AF31EA" w:rsidRPr="00AF31EA" w:rsidRDefault="00AF31EA" w:rsidP="00502832">
      <w:pPr>
        <w:tabs>
          <w:tab w:val="left" w:pos="0"/>
        </w:tabs>
        <w:spacing w:after="0" w:line="312" w:lineRule="auto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2F7D22A5" w14:textId="57BACB56" w:rsidR="00E77EDD" w:rsidRPr="00E40DC1" w:rsidRDefault="00CD341E" w:rsidP="00E77EDD">
      <w:pPr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Si ricorda che n</w:t>
      </w:r>
      <w:r w:rsidR="00E77EDD">
        <w:rPr>
          <w:rFonts w:ascii="Century Gothic" w:hAnsi="Century Gothic"/>
          <w:sz w:val="20"/>
          <w:szCs w:val="20"/>
        </w:rPr>
        <w:t>on sono</w:t>
      </w:r>
      <w:r w:rsidR="00E77EDD" w:rsidRPr="00E40DC1">
        <w:rPr>
          <w:rFonts w:ascii="Century Gothic" w:hAnsi="Century Gothic"/>
          <w:sz w:val="20"/>
          <w:szCs w:val="20"/>
        </w:rPr>
        <w:t xml:space="preserve"> ammessi ribassi percentuali con più di due cifre decimali</w:t>
      </w:r>
      <w:r w:rsidR="00E77EDD"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>; oltre tale limite si procederà al troncamento del valore indicato senza arrotondamento.</w:t>
      </w:r>
    </w:p>
    <w:p w14:paraId="13E352C3" w14:textId="77777777" w:rsidR="00E77EDD" w:rsidRDefault="00E77EDD" w:rsidP="00562B05">
      <w:pPr>
        <w:tabs>
          <w:tab w:val="left" w:pos="0"/>
        </w:tabs>
        <w:spacing w:after="0" w:line="312" w:lineRule="auto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0BE9F139" w14:textId="728B42C9" w:rsidR="00562B05" w:rsidRPr="00AF31EA" w:rsidRDefault="00562B05" w:rsidP="00562B05">
      <w:pPr>
        <w:tabs>
          <w:tab w:val="left" w:pos="0"/>
        </w:tabs>
        <w:spacing w:after="0" w:line="312" w:lineRule="auto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AF31EA">
        <w:rPr>
          <w:rFonts w:ascii="Century Gothic" w:eastAsia="Times New Roman" w:hAnsi="Century Gothic" w:cs="Arial"/>
          <w:sz w:val="20"/>
          <w:szCs w:val="20"/>
          <w:lang w:eastAsia="it-IT"/>
        </w:rPr>
        <w:t>Indica</w:t>
      </w:r>
      <w:r w:rsidR="00E77EDD">
        <w:rPr>
          <w:rFonts w:ascii="Century Gothic" w:eastAsia="Times New Roman" w:hAnsi="Century Gothic" w:cs="Arial"/>
          <w:sz w:val="20"/>
          <w:szCs w:val="20"/>
          <w:lang w:eastAsia="it-IT"/>
        </w:rPr>
        <w:t>,</w:t>
      </w:r>
      <w:r w:rsidRPr="00AF31EA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r w:rsidR="00E77EDD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altresì, </w:t>
      </w:r>
      <w:r w:rsidRPr="00AF31EA">
        <w:rPr>
          <w:rFonts w:ascii="Century Gothic" w:eastAsia="Times New Roman" w:hAnsi="Century Gothic" w:cs="Arial"/>
          <w:sz w:val="20"/>
          <w:szCs w:val="20"/>
          <w:lang w:eastAsia="it-IT"/>
        </w:rPr>
        <w:t>gli importi in euro delle seguenti voci di costo:</w:t>
      </w:r>
    </w:p>
    <w:p w14:paraId="4EA65117" w14:textId="77777777" w:rsidR="0025373A" w:rsidRPr="00562B05" w:rsidRDefault="0025373A" w:rsidP="00562B05">
      <w:pPr>
        <w:tabs>
          <w:tab w:val="left" w:pos="0"/>
        </w:tabs>
        <w:spacing w:after="0" w:line="312" w:lineRule="auto"/>
        <w:contextualSpacing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6629"/>
        <w:gridCol w:w="2977"/>
      </w:tblGrid>
      <w:tr w:rsidR="00CD341E" w:rsidRPr="00562B05" w14:paraId="54AD95D2" w14:textId="77777777" w:rsidTr="00170652">
        <w:tc>
          <w:tcPr>
            <w:tcW w:w="6629" w:type="dxa"/>
            <w:shd w:val="clear" w:color="auto" w:fill="8DB3E2" w:themeFill="text2" w:themeFillTint="66"/>
          </w:tcPr>
          <w:p w14:paraId="01574BCE" w14:textId="77777777" w:rsidR="00CD341E" w:rsidRPr="00562B05" w:rsidRDefault="00CD341E" w:rsidP="00170652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0D03DBA8" w14:textId="77777777" w:rsidR="00CD341E" w:rsidRPr="00562B05" w:rsidRDefault="00CD341E" w:rsidP="00170652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562B05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VOCE DI COSTO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14:paraId="680E80E2" w14:textId="77777777" w:rsidR="00CD341E" w:rsidRPr="00562B05" w:rsidRDefault="00CD341E" w:rsidP="00170652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0F734869" w14:textId="77777777" w:rsidR="00CD341E" w:rsidRPr="00562B05" w:rsidRDefault="00CD341E" w:rsidP="00170652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562B05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IMPORTO ESPRESSO IN EURO</w:t>
            </w:r>
          </w:p>
        </w:tc>
      </w:tr>
      <w:tr w:rsidR="00CD341E" w:rsidRPr="00562B05" w14:paraId="38EAE4D7" w14:textId="77777777" w:rsidTr="00FF363A">
        <w:trPr>
          <w:trHeight w:val="360"/>
        </w:trPr>
        <w:tc>
          <w:tcPr>
            <w:tcW w:w="6629" w:type="dxa"/>
          </w:tcPr>
          <w:p w14:paraId="2259838A" w14:textId="77777777" w:rsidR="00CD341E" w:rsidRPr="00562B05" w:rsidRDefault="00CD341E" w:rsidP="00170652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562B05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A - IMPORTO DELLA FORNITURA</w:t>
            </w:r>
          </w:p>
        </w:tc>
        <w:tc>
          <w:tcPr>
            <w:tcW w:w="2977" w:type="dxa"/>
          </w:tcPr>
          <w:p w14:paraId="5F180E56" w14:textId="77777777" w:rsidR="00CD341E" w:rsidRPr="00562B05" w:rsidRDefault="00CD341E" w:rsidP="00170652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CD341E" w:rsidRPr="00562B05" w14:paraId="1AFF784C" w14:textId="77777777" w:rsidTr="00170652">
        <w:trPr>
          <w:trHeight w:val="616"/>
        </w:trPr>
        <w:tc>
          <w:tcPr>
            <w:tcW w:w="6629" w:type="dxa"/>
          </w:tcPr>
          <w:p w14:paraId="2659DFA7" w14:textId="77777777" w:rsidR="00CD341E" w:rsidRPr="00562B05" w:rsidRDefault="00CD341E" w:rsidP="00170652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562B05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B - STIMA COSTI AZIENDALI RELATIVI ALLA SALUTE E SICUREZZA (IVA ESCLUSA)</w:t>
            </w:r>
          </w:p>
        </w:tc>
        <w:tc>
          <w:tcPr>
            <w:tcW w:w="2977" w:type="dxa"/>
          </w:tcPr>
          <w:p w14:paraId="60E5D173" w14:textId="77777777" w:rsidR="00CD341E" w:rsidRPr="00562B05" w:rsidRDefault="00CD341E" w:rsidP="00170652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562B05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                                        </w:t>
            </w:r>
          </w:p>
          <w:p w14:paraId="6BA10310" w14:textId="77777777" w:rsidR="00CD341E" w:rsidRPr="00562B05" w:rsidRDefault="00CD341E" w:rsidP="00170652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562B05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                       </w:t>
            </w:r>
          </w:p>
        </w:tc>
      </w:tr>
      <w:tr w:rsidR="00CD341E" w:rsidRPr="00562B05" w14:paraId="5720FAB7" w14:textId="77777777" w:rsidTr="00170652">
        <w:trPr>
          <w:trHeight w:val="663"/>
        </w:trPr>
        <w:tc>
          <w:tcPr>
            <w:tcW w:w="6629" w:type="dxa"/>
          </w:tcPr>
          <w:p w14:paraId="55B6BC46" w14:textId="77777777" w:rsidR="00CD341E" w:rsidRPr="00562B05" w:rsidRDefault="00CD341E" w:rsidP="00170652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562B05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C - STIMA COSTI MANODOPERA RELATIVI ALLE SOLE ATTIVITA’ DI INSTALLAZIONE</w:t>
            </w:r>
          </w:p>
        </w:tc>
        <w:tc>
          <w:tcPr>
            <w:tcW w:w="2977" w:type="dxa"/>
          </w:tcPr>
          <w:p w14:paraId="5E6199E7" w14:textId="77777777" w:rsidR="00CD341E" w:rsidRPr="00562B05" w:rsidRDefault="00CD341E" w:rsidP="00170652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615A0FE7" w14:textId="77777777" w:rsidR="00CD341E" w:rsidRPr="00562B05" w:rsidRDefault="00CD341E" w:rsidP="00170652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562B05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                         </w:t>
            </w:r>
          </w:p>
        </w:tc>
      </w:tr>
      <w:tr w:rsidR="00CD341E" w:rsidRPr="00562B05" w14:paraId="159E1C95" w14:textId="77777777" w:rsidTr="00170652">
        <w:tc>
          <w:tcPr>
            <w:tcW w:w="6629" w:type="dxa"/>
          </w:tcPr>
          <w:p w14:paraId="273F2A9B" w14:textId="77777777" w:rsidR="00CD341E" w:rsidRPr="00562B05" w:rsidRDefault="00CD341E" w:rsidP="00170652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562B05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D - SPESE GENERALI</w:t>
            </w:r>
          </w:p>
        </w:tc>
        <w:tc>
          <w:tcPr>
            <w:tcW w:w="2977" w:type="dxa"/>
          </w:tcPr>
          <w:p w14:paraId="3D5233E8" w14:textId="77777777" w:rsidR="00CD341E" w:rsidRPr="00562B05" w:rsidRDefault="00CD341E" w:rsidP="00170652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CD341E" w:rsidRPr="00562B05" w14:paraId="63D5762A" w14:textId="77777777" w:rsidTr="00170652">
        <w:tc>
          <w:tcPr>
            <w:tcW w:w="6629" w:type="dxa"/>
          </w:tcPr>
          <w:p w14:paraId="6DBB36AD" w14:textId="77777777" w:rsidR="00CD341E" w:rsidRPr="00562B05" w:rsidRDefault="00CD341E" w:rsidP="00170652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562B05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E – UTILE</w:t>
            </w:r>
          </w:p>
        </w:tc>
        <w:tc>
          <w:tcPr>
            <w:tcW w:w="2977" w:type="dxa"/>
          </w:tcPr>
          <w:p w14:paraId="422D6DAE" w14:textId="77777777" w:rsidR="00CD341E" w:rsidRPr="00562B05" w:rsidRDefault="00CD341E" w:rsidP="00170652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CD341E" w:rsidRPr="00562B05" w14:paraId="779796DD" w14:textId="77777777" w:rsidTr="00170652">
        <w:tc>
          <w:tcPr>
            <w:tcW w:w="6629" w:type="dxa"/>
          </w:tcPr>
          <w:p w14:paraId="0F230DD1" w14:textId="77777777" w:rsidR="00CD341E" w:rsidRPr="00562B05" w:rsidRDefault="00CD341E" w:rsidP="00170652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F – ALTRO </w:t>
            </w:r>
            <w:r w:rsidRPr="002D27B3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(</w:t>
            </w:r>
            <w:r w:rsidRPr="002D27B3">
              <w:rPr>
                <w:rFonts w:ascii="Century Gothic" w:eastAsia="Times New Roman" w:hAnsi="Century Gothic" w:cs="Arial"/>
                <w:i/>
                <w:sz w:val="20"/>
                <w:szCs w:val="20"/>
                <w:lang w:eastAsia="it-IT"/>
              </w:rPr>
              <w:t>Eventuale)</w:t>
            </w:r>
          </w:p>
        </w:tc>
        <w:tc>
          <w:tcPr>
            <w:tcW w:w="2977" w:type="dxa"/>
          </w:tcPr>
          <w:p w14:paraId="4ED5B542" w14:textId="77777777" w:rsidR="00CD341E" w:rsidRPr="00562B05" w:rsidRDefault="00CD341E" w:rsidP="00170652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CD341E" w:rsidRPr="00562B05" w14:paraId="4F9D65AA" w14:textId="77777777" w:rsidTr="00170652">
        <w:tc>
          <w:tcPr>
            <w:tcW w:w="6629" w:type="dxa"/>
          </w:tcPr>
          <w:p w14:paraId="0D83A016" w14:textId="24EC5ADC" w:rsidR="00CD341E" w:rsidRPr="00562B05" w:rsidRDefault="00CD341E" w:rsidP="00170652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562B05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TOTALE (non superiore all’importo posto a base di gara </w:t>
            </w:r>
            <w:r w:rsidR="003B1F10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soggetto a ribasso </w:t>
            </w:r>
            <w:r w:rsidRPr="00562B05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pari a € </w:t>
            </w:r>
            <w:r w:rsidR="003B1F10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258</w:t>
            </w:r>
            <w:r w:rsidRPr="00562B05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.000,00)</w:t>
            </w:r>
          </w:p>
          <w:p w14:paraId="0DA132F4" w14:textId="229B41D3" w:rsidR="00CD341E" w:rsidRPr="00562B05" w:rsidRDefault="00CD341E" w:rsidP="00170652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562B05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A + B+ C+ D+ E</w:t>
            </w: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+ F</w:t>
            </w:r>
          </w:p>
        </w:tc>
        <w:tc>
          <w:tcPr>
            <w:tcW w:w="2977" w:type="dxa"/>
          </w:tcPr>
          <w:p w14:paraId="7C2C6EA3" w14:textId="77777777" w:rsidR="00CD341E" w:rsidRPr="00562B05" w:rsidRDefault="00CD341E" w:rsidP="00170652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44DDD0F5" w14:textId="77777777" w:rsidR="00586279" w:rsidRPr="00E40DC1" w:rsidRDefault="00586279" w:rsidP="00502832">
      <w:pPr>
        <w:spacing w:after="0" w:line="312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0CA61143" w14:textId="77777777" w:rsidR="00586279" w:rsidRPr="00E40DC1" w:rsidRDefault="00586279" w:rsidP="00502832">
      <w:pPr>
        <w:keepNext/>
        <w:spacing w:after="0" w:line="312" w:lineRule="auto"/>
        <w:contextualSpacing/>
        <w:jc w:val="center"/>
        <w:outlineLvl w:val="0"/>
        <w:rPr>
          <w:rFonts w:ascii="Century Gothic" w:eastAsia="Times New Roman" w:hAnsi="Century Gothic" w:cs="Arial"/>
          <w:b/>
          <w:bCs/>
          <w:snapToGrid w:val="0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b/>
          <w:bCs/>
          <w:snapToGrid w:val="0"/>
          <w:sz w:val="20"/>
          <w:szCs w:val="20"/>
          <w:lang w:eastAsia="it-IT"/>
        </w:rPr>
        <w:t>DICHIARA INOLTRE</w:t>
      </w:r>
    </w:p>
    <w:p w14:paraId="59F0EB0A" w14:textId="77777777" w:rsidR="00586279" w:rsidRPr="00E40DC1" w:rsidRDefault="00586279" w:rsidP="00502832">
      <w:pPr>
        <w:spacing w:after="0" w:line="312" w:lineRule="auto"/>
        <w:contextualSpacing/>
        <w:rPr>
          <w:rFonts w:ascii="Century Gothic" w:eastAsia="Times New Roman" w:hAnsi="Century Gothic" w:cs="Arial"/>
          <w:color w:val="FF0000"/>
          <w:sz w:val="20"/>
          <w:szCs w:val="20"/>
          <w:lang w:eastAsia="it-IT"/>
        </w:rPr>
      </w:pPr>
    </w:p>
    <w:p w14:paraId="572A1727" w14:textId="7264753B" w:rsidR="00215F89" w:rsidRPr="00E40DC1" w:rsidRDefault="00215F89" w:rsidP="00502832">
      <w:pPr>
        <w:numPr>
          <w:ilvl w:val="0"/>
          <w:numId w:val="1"/>
        </w:numPr>
        <w:tabs>
          <w:tab w:val="num" w:pos="312"/>
        </w:tabs>
        <w:spacing w:after="0" w:line="312" w:lineRule="auto"/>
        <w:ind w:hanging="1065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che l’offerta tiene conto di tutte le prestazioni richieste dal Capitolato </w:t>
      </w:r>
      <w:r w:rsidR="00CD341E">
        <w:rPr>
          <w:rFonts w:ascii="Century Gothic" w:eastAsia="Times New Roman" w:hAnsi="Century Gothic" w:cs="Arial"/>
          <w:sz w:val="20"/>
          <w:szCs w:val="20"/>
          <w:lang w:eastAsia="it-IT"/>
        </w:rPr>
        <w:t>S</w:t>
      </w: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>peciale</w:t>
      </w:r>
      <w:r w:rsidR="00CD341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>d’</w:t>
      </w:r>
      <w:r w:rsidR="00CD341E">
        <w:rPr>
          <w:rFonts w:ascii="Century Gothic" w:eastAsia="Times New Roman" w:hAnsi="Century Gothic" w:cs="Arial"/>
          <w:sz w:val="20"/>
          <w:szCs w:val="20"/>
          <w:lang w:eastAsia="it-IT"/>
        </w:rPr>
        <w:t>O</w:t>
      </w:r>
      <w:r w:rsidR="00512F60">
        <w:rPr>
          <w:rFonts w:ascii="Century Gothic" w:eastAsia="Times New Roman" w:hAnsi="Century Gothic" w:cs="Arial"/>
          <w:sz w:val="20"/>
          <w:szCs w:val="20"/>
          <w:lang w:eastAsia="it-IT"/>
        </w:rPr>
        <w:t>neri</w:t>
      </w: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; </w:t>
      </w:r>
    </w:p>
    <w:p w14:paraId="04C71301" w14:textId="77777777" w:rsidR="00215F89" w:rsidRPr="00E40DC1" w:rsidRDefault="00215F89" w:rsidP="00502832">
      <w:pPr>
        <w:numPr>
          <w:ilvl w:val="0"/>
          <w:numId w:val="1"/>
        </w:numPr>
        <w:tabs>
          <w:tab w:val="num" w:pos="312"/>
        </w:tabs>
        <w:spacing w:after="0" w:line="312" w:lineRule="auto"/>
        <w:ind w:left="336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>che l’offerta è remunerativa e tiene conto di quanto serve per il regolare svolgimento delle attività e consente di assicurare ai lavoratori impiegati il trattamento economico e contributivo minimo previsto dal contratto collettivo di riferimento;</w:t>
      </w:r>
    </w:p>
    <w:p w14:paraId="6430CD0D" w14:textId="77777777" w:rsidR="00215F89" w:rsidRPr="00E40DC1" w:rsidRDefault="00215F89" w:rsidP="00502832">
      <w:pPr>
        <w:numPr>
          <w:ilvl w:val="0"/>
          <w:numId w:val="1"/>
        </w:numPr>
        <w:spacing w:after="0" w:line="312" w:lineRule="auto"/>
        <w:ind w:left="336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lastRenderedPageBreak/>
        <w:t xml:space="preserve">che la presente offerta ha una validità </w:t>
      </w:r>
      <w:r w:rsidRPr="00634422">
        <w:rPr>
          <w:rFonts w:ascii="Century Gothic" w:eastAsia="Times New Roman" w:hAnsi="Century Gothic" w:cs="Arial"/>
          <w:sz w:val="20"/>
          <w:szCs w:val="20"/>
          <w:lang w:eastAsia="it-IT"/>
        </w:rPr>
        <w:t>di giorni 180 (centottanta) dalla data stabilita quale termine per la presentazione delle offerte e ha valore di proposta contrattuale</w:t>
      </w: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ai sensi dell’art. 1329 del codice civile;</w:t>
      </w:r>
    </w:p>
    <w:p w14:paraId="3F3754B3" w14:textId="456AB4B6" w:rsidR="00215F89" w:rsidRPr="00E40DC1" w:rsidRDefault="00215F89" w:rsidP="00502832">
      <w:pPr>
        <w:numPr>
          <w:ilvl w:val="0"/>
          <w:numId w:val="1"/>
        </w:numPr>
        <w:spacing w:after="0" w:line="312" w:lineRule="auto"/>
        <w:ind w:left="336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che l’offerta comprende </w:t>
      </w:r>
      <w:r w:rsidRPr="00E77EDD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e compensa le spese generali ed utili dell’Affidatario, le assicurazioni e tutti gli oneri accessori che lo stesso dovrà sostenere anche se non esplicitamente indicati nella documentazione di gara, necessari per assicurare la perfetta esecuzione </w:t>
      </w:r>
      <w:r w:rsidR="00E77EDD" w:rsidRPr="00E77EDD">
        <w:rPr>
          <w:rFonts w:ascii="Century Gothic" w:eastAsia="Times New Roman" w:hAnsi="Century Gothic" w:cs="Arial"/>
          <w:sz w:val="20"/>
          <w:szCs w:val="20"/>
          <w:lang w:eastAsia="it-IT"/>
        </w:rPr>
        <w:t>della fornitura</w:t>
      </w:r>
      <w:r w:rsidRPr="00E77EDD">
        <w:rPr>
          <w:rFonts w:ascii="Century Gothic" w:eastAsia="Times New Roman" w:hAnsi="Century Gothic" w:cs="Arial"/>
          <w:sz w:val="20"/>
          <w:szCs w:val="20"/>
          <w:lang w:eastAsia="it-IT"/>
        </w:rPr>
        <w:t>. Il pre</w:t>
      </w: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zzo s’intende fissato dall’Affidatario in base a calcoli di propria assoluta convenienza per cui il medesimo ne assume tutti i rischi; </w:t>
      </w:r>
    </w:p>
    <w:p w14:paraId="48B91CDC" w14:textId="77777777" w:rsidR="00215F89" w:rsidRPr="00E40DC1" w:rsidRDefault="00215F89" w:rsidP="00502832">
      <w:pPr>
        <w:numPr>
          <w:ilvl w:val="0"/>
          <w:numId w:val="1"/>
        </w:numPr>
        <w:spacing w:after="0" w:line="312" w:lineRule="auto"/>
        <w:ind w:left="336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di prendere atto che tale offerta economica non vincola in alcun modo l’Amministrazione appaltante; </w:t>
      </w:r>
    </w:p>
    <w:p w14:paraId="009508DB" w14:textId="77777777" w:rsidR="00215F89" w:rsidRPr="00E40DC1" w:rsidRDefault="00215F89" w:rsidP="00502832">
      <w:pPr>
        <w:numPr>
          <w:ilvl w:val="0"/>
          <w:numId w:val="1"/>
        </w:numPr>
        <w:spacing w:after="0" w:line="312" w:lineRule="auto"/>
        <w:ind w:left="336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>che la scrivente Impresa non ha nulla da pretendere dal Politecnico di Torino, a qualsiasi titolo, in ragione della formulazione della presente offerta;</w:t>
      </w:r>
    </w:p>
    <w:p w14:paraId="7081605E" w14:textId="77777777" w:rsidR="00215F89" w:rsidRPr="00E40DC1" w:rsidRDefault="00215F89" w:rsidP="00502832">
      <w:pPr>
        <w:numPr>
          <w:ilvl w:val="0"/>
          <w:numId w:val="1"/>
        </w:numPr>
        <w:tabs>
          <w:tab w:val="num" w:pos="312"/>
          <w:tab w:val="num" w:pos="705"/>
        </w:tabs>
        <w:spacing w:after="0" w:line="312" w:lineRule="auto"/>
        <w:ind w:left="336" w:right="-10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>che tutti i movimenti finanziari relativi all’appalto saranno registrati sul conto corrente bancario o postale dedicato, anche non in via esclusiva alla commessa pubblica di cui in premessa, i cui estremi identificativi saranno comunicati in caso di aggiudicazione, unitamente alle generalità e al codice fiscale delle persone delegate ad operare su di esso;</w:t>
      </w:r>
    </w:p>
    <w:p w14:paraId="2E5AF9CD" w14:textId="77777777" w:rsidR="00215F89" w:rsidRPr="00E40DC1" w:rsidRDefault="00215F89" w:rsidP="00502832">
      <w:pPr>
        <w:numPr>
          <w:ilvl w:val="0"/>
          <w:numId w:val="1"/>
        </w:numPr>
        <w:tabs>
          <w:tab w:val="num" w:pos="312"/>
          <w:tab w:val="num" w:pos="705"/>
        </w:tabs>
        <w:spacing w:after="0" w:line="312" w:lineRule="auto"/>
        <w:ind w:left="336" w:right="-10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>che i relativi pagamenti saranno effettuati esclusivamente a mezzo bonifico bancario o postale, ovvero con altri strumenti di pagamento idonei a consentire la piena tracciabilità delle operazioni.</w:t>
      </w:r>
    </w:p>
    <w:p w14:paraId="3C63ED28" w14:textId="47036D64" w:rsidR="00586279" w:rsidRDefault="00586279" w:rsidP="00502832">
      <w:pPr>
        <w:spacing w:after="0" w:line="312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69887708" w14:textId="77777777" w:rsidR="00854238" w:rsidRPr="00E40DC1" w:rsidRDefault="00854238" w:rsidP="00502832">
      <w:pPr>
        <w:spacing w:after="0" w:line="312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4658C557" w14:textId="77777777" w:rsidR="00C404BD" w:rsidRPr="00625850" w:rsidRDefault="00C404BD" w:rsidP="00C404BD">
      <w:pPr>
        <w:widowControl w:val="0"/>
        <w:spacing w:after="0" w:line="36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625850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FIRMA</w:t>
      </w:r>
    </w:p>
    <w:p w14:paraId="56977412" w14:textId="77777777" w:rsidR="00C404BD" w:rsidRPr="00625850" w:rsidRDefault="00C404BD" w:rsidP="00C404BD">
      <w:pPr>
        <w:widowControl w:val="0"/>
        <w:spacing w:after="0" w:line="36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</w:t>
      </w:r>
    </w:p>
    <w:p w14:paraId="0B4CABBC" w14:textId="77777777" w:rsidR="00C404BD" w:rsidRPr="00F860BD" w:rsidRDefault="00C404BD" w:rsidP="00C404BD">
      <w:pPr>
        <w:spacing w:after="0" w:line="360" w:lineRule="auto"/>
        <w:jc w:val="right"/>
        <w:rPr>
          <w:rFonts w:ascii="Century Gothic" w:eastAsia="Times New Roman" w:hAnsi="Century Gothic" w:cs="Arial"/>
          <w:color w:val="FF0000"/>
          <w:sz w:val="20"/>
          <w:szCs w:val="20"/>
          <w:lang w:eastAsia="it-IT"/>
        </w:rPr>
      </w:pP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(</w:t>
      </w:r>
      <w:r w:rsidRPr="00625850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______________)</w:t>
      </w:r>
    </w:p>
    <w:p w14:paraId="1B1A8AE4" w14:textId="644EFF1A" w:rsidR="00854238" w:rsidRDefault="00854238" w:rsidP="00502832">
      <w:pPr>
        <w:spacing w:after="0" w:line="312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459D8414" w14:textId="46E0C1DE" w:rsidR="00854238" w:rsidRDefault="00854238" w:rsidP="00502832">
      <w:pPr>
        <w:spacing w:after="0" w:line="312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377A29E1" w14:textId="64A57A79" w:rsidR="00854238" w:rsidRDefault="00854238" w:rsidP="00502832">
      <w:pPr>
        <w:spacing w:after="0" w:line="312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3B5856B7" w14:textId="77777777" w:rsidR="00854238" w:rsidRPr="00E40DC1" w:rsidRDefault="00854238" w:rsidP="00502832">
      <w:pPr>
        <w:spacing w:after="0" w:line="312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32B83F0B" w14:textId="77777777" w:rsidR="00586279" w:rsidRPr="00CD341E" w:rsidRDefault="00586279" w:rsidP="00502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rPr>
          <w:rFonts w:ascii="Century Gothic" w:eastAsia="Times New Roman" w:hAnsi="Century Gothic" w:cs="Arial"/>
          <w:b/>
          <w:color w:val="0070C0"/>
          <w:sz w:val="16"/>
          <w:szCs w:val="16"/>
          <w:lang w:eastAsia="it-IT"/>
        </w:rPr>
      </w:pPr>
      <w:r w:rsidRPr="00CD341E">
        <w:rPr>
          <w:rFonts w:ascii="Century Gothic" w:eastAsia="Times New Roman" w:hAnsi="Century Gothic" w:cs="Arial"/>
          <w:b/>
          <w:color w:val="0070C0"/>
          <w:sz w:val="16"/>
          <w:szCs w:val="16"/>
          <w:lang w:eastAsia="it-IT"/>
        </w:rPr>
        <w:t xml:space="preserve">Note </w:t>
      </w:r>
    </w:p>
    <w:p w14:paraId="61575FD6" w14:textId="0A07D458" w:rsidR="00586279" w:rsidRPr="00CD341E" w:rsidRDefault="00586279" w:rsidP="00502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jc w:val="both"/>
        <w:rPr>
          <w:rFonts w:ascii="Century Gothic" w:eastAsia="Times New Roman" w:hAnsi="Century Gothic" w:cs="Arial"/>
          <w:sz w:val="16"/>
          <w:szCs w:val="16"/>
          <w:lang w:eastAsia="it-IT"/>
        </w:rPr>
      </w:pPr>
      <w:r w:rsidRPr="00CD341E">
        <w:rPr>
          <w:rFonts w:ascii="Century Gothic" w:eastAsia="Times New Roman" w:hAnsi="Century Gothic" w:cs="Arial"/>
          <w:sz w:val="16"/>
          <w:szCs w:val="16"/>
          <w:lang w:eastAsia="it-IT"/>
        </w:rPr>
        <w:t xml:space="preserve">L’offerta economica deve essere </w:t>
      </w:r>
      <w:r w:rsidRPr="00CD341E">
        <w:rPr>
          <w:rFonts w:ascii="Century Gothic" w:eastAsia="Times New Roman" w:hAnsi="Century Gothic" w:cs="Arial"/>
          <w:b/>
          <w:sz w:val="16"/>
          <w:szCs w:val="16"/>
          <w:lang w:eastAsia="it-IT"/>
        </w:rPr>
        <w:t>sottoscritta digitalmente</w:t>
      </w:r>
      <w:r w:rsidR="00572835" w:rsidRPr="00CD341E">
        <w:rPr>
          <w:rFonts w:ascii="Century Gothic" w:eastAsia="Times New Roman" w:hAnsi="Century Gothic" w:cs="Arial"/>
          <w:b/>
          <w:sz w:val="16"/>
          <w:szCs w:val="16"/>
          <w:lang w:eastAsia="it-IT"/>
        </w:rPr>
        <w:t xml:space="preserve">, </w:t>
      </w:r>
      <w:r w:rsidR="00572835" w:rsidRPr="00CD341E">
        <w:rPr>
          <w:rFonts w:ascii="Century Gothic" w:hAnsi="Century Gothic" w:cs="Calibri"/>
          <w:sz w:val="16"/>
          <w:szCs w:val="16"/>
        </w:rPr>
        <w:t>secondo le modalità previste al</w:t>
      </w:r>
      <w:r w:rsidR="00E72976" w:rsidRPr="00CD341E">
        <w:rPr>
          <w:rFonts w:ascii="Century Gothic" w:hAnsi="Century Gothic" w:cs="Calibri"/>
          <w:sz w:val="16"/>
          <w:szCs w:val="16"/>
        </w:rPr>
        <w:t xml:space="preserve"> </w:t>
      </w:r>
      <w:r w:rsidR="00572835" w:rsidRPr="00CD341E">
        <w:rPr>
          <w:rFonts w:ascii="Century Gothic" w:hAnsi="Century Gothic" w:cs="Calibri"/>
          <w:sz w:val="16"/>
          <w:szCs w:val="16"/>
        </w:rPr>
        <w:t>punto 1</w:t>
      </w:r>
      <w:r w:rsidR="00CC6F24" w:rsidRPr="00CD341E">
        <w:rPr>
          <w:rFonts w:ascii="Century Gothic" w:hAnsi="Century Gothic" w:cs="Calibri"/>
          <w:sz w:val="16"/>
          <w:szCs w:val="16"/>
        </w:rPr>
        <w:t>3</w:t>
      </w:r>
      <w:r w:rsidR="00572835" w:rsidRPr="00CD341E">
        <w:rPr>
          <w:rFonts w:ascii="Century Gothic" w:hAnsi="Century Gothic" w:cs="Calibri"/>
          <w:sz w:val="16"/>
          <w:szCs w:val="16"/>
        </w:rPr>
        <w:t xml:space="preserve">.1 del disciplinare di gara, </w:t>
      </w:r>
      <w:r w:rsidRPr="00CD341E">
        <w:rPr>
          <w:rFonts w:ascii="Century Gothic" w:eastAsia="Times New Roman" w:hAnsi="Century Gothic" w:cs="Arial"/>
          <w:sz w:val="16"/>
          <w:szCs w:val="16"/>
          <w:lang w:eastAsia="it-IT"/>
        </w:rPr>
        <w:t xml:space="preserve">dal legale rappresentante dell’operatore economico concorrente; </w:t>
      </w:r>
    </w:p>
    <w:p w14:paraId="70048296" w14:textId="77777777" w:rsidR="00586279" w:rsidRPr="00CD341E" w:rsidRDefault="00586279" w:rsidP="00502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jc w:val="both"/>
        <w:rPr>
          <w:rFonts w:ascii="Century Gothic" w:eastAsia="Times New Roman" w:hAnsi="Century Gothic" w:cs="Arial"/>
          <w:sz w:val="16"/>
          <w:szCs w:val="16"/>
          <w:lang w:eastAsia="it-IT"/>
        </w:rPr>
      </w:pPr>
      <w:r w:rsidRPr="00CD341E">
        <w:rPr>
          <w:rFonts w:ascii="Century Gothic" w:eastAsia="Times New Roman" w:hAnsi="Century Gothic" w:cs="Arial"/>
          <w:sz w:val="16"/>
          <w:szCs w:val="16"/>
          <w:lang w:eastAsia="it-IT"/>
        </w:rPr>
        <w:t xml:space="preserve">nel caso di RTI costituito, dal Legale rappresentante della società mandataria; </w:t>
      </w:r>
    </w:p>
    <w:p w14:paraId="63012DFE" w14:textId="0C54036F" w:rsidR="00A453E8" w:rsidRPr="00CD341E" w:rsidRDefault="00586279" w:rsidP="00502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jc w:val="both"/>
        <w:rPr>
          <w:rFonts w:ascii="Century Gothic" w:eastAsia="Times New Roman" w:hAnsi="Century Gothic" w:cs="Arial"/>
          <w:sz w:val="16"/>
          <w:szCs w:val="16"/>
          <w:lang w:eastAsia="it-IT"/>
        </w:rPr>
      </w:pPr>
      <w:r w:rsidRPr="00CD341E">
        <w:rPr>
          <w:rFonts w:ascii="Century Gothic" w:eastAsia="Times New Roman" w:hAnsi="Century Gothic" w:cs="Arial"/>
          <w:sz w:val="16"/>
          <w:szCs w:val="16"/>
          <w:lang w:eastAsia="it-IT"/>
        </w:rPr>
        <w:t>nel caso di RTI costituendo, dai legali rappresentanti di ciascun operatore economico che partecipa alla procedura in forma congiunta.</w:t>
      </w:r>
    </w:p>
    <w:p w14:paraId="0E147220" w14:textId="4ECC1132" w:rsidR="00CC6F24" w:rsidRPr="00CD341E" w:rsidRDefault="00CC6F24" w:rsidP="00CC6F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12" w:lineRule="auto"/>
        <w:contextualSpacing/>
        <w:jc w:val="both"/>
        <w:rPr>
          <w:rFonts w:ascii="Century Gothic" w:hAnsi="Century Gothic"/>
          <w:sz w:val="16"/>
          <w:szCs w:val="16"/>
        </w:rPr>
      </w:pPr>
      <w:r w:rsidRPr="00CD341E">
        <w:rPr>
          <w:rFonts w:ascii="Century Gothic" w:hAnsi="Century Gothic"/>
          <w:sz w:val="16"/>
          <w:szCs w:val="16"/>
        </w:rPr>
        <w:t>La</w:t>
      </w:r>
      <w:r w:rsidRPr="00CD341E">
        <w:rPr>
          <w:rFonts w:ascii="Century Gothic" w:hAnsi="Century Gothic"/>
          <w:i/>
          <w:sz w:val="16"/>
          <w:szCs w:val="16"/>
        </w:rPr>
        <w:t xml:space="preserve"> </w:t>
      </w:r>
      <w:r w:rsidRPr="00CD341E">
        <w:rPr>
          <w:rFonts w:ascii="Century Gothic" w:hAnsi="Century Gothic"/>
          <w:sz w:val="16"/>
          <w:szCs w:val="16"/>
        </w:rPr>
        <w:t>dichiarazione deve essere inserita nella Busta economica.</w:t>
      </w:r>
    </w:p>
    <w:sectPr w:rsidR="00CC6F24" w:rsidRPr="00CD341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A4942" w14:textId="77777777" w:rsidR="00E4780A" w:rsidRDefault="00E4780A" w:rsidP="00EF3813">
      <w:pPr>
        <w:spacing w:after="0" w:line="240" w:lineRule="auto"/>
      </w:pPr>
      <w:r>
        <w:separator/>
      </w:r>
    </w:p>
  </w:endnote>
  <w:endnote w:type="continuationSeparator" w:id="0">
    <w:p w14:paraId="3C277AF0" w14:textId="77777777" w:rsidR="00E4780A" w:rsidRDefault="00E4780A" w:rsidP="00E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8409937"/>
      <w:docPartObj>
        <w:docPartGallery w:val="Page Numbers (Bottom of Page)"/>
        <w:docPartUnique/>
      </w:docPartObj>
    </w:sdtPr>
    <w:sdtEndPr/>
    <w:sdtContent>
      <w:p w14:paraId="7E8D5F58" w14:textId="4F26D93F" w:rsidR="00EF3813" w:rsidRDefault="00EF38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626">
          <w:rPr>
            <w:noProof/>
          </w:rPr>
          <w:t>1</w:t>
        </w:r>
        <w:r>
          <w:fldChar w:fldCharType="end"/>
        </w:r>
      </w:p>
    </w:sdtContent>
  </w:sdt>
  <w:p w14:paraId="108FAEC1" w14:textId="6A8262F6" w:rsidR="00EF3813" w:rsidRDefault="00E562B3">
    <w:pPr>
      <w:pStyle w:val="Pidipagina"/>
    </w:pPr>
    <w:r>
      <w:rPr>
        <w:rFonts w:ascii="Century Gothic" w:hAnsi="Century Gothic"/>
        <w:noProof/>
        <w:color w:val="E57200"/>
        <w:lang w:val="en-US"/>
      </w:rPr>
      <w:drawing>
        <wp:anchor distT="0" distB="0" distL="114300" distR="114300" simplePos="0" relativeHeight="251659264" behindDoc="1" locked="0" layoutInCell="1" allowOverlap="1" wp14:anchorId="7DB38A92" wp14:editId="74D03D04">
          <wp:simplePos x="0" y="0"/>
          <wp:positionH relativeFrom="margin">
            <wp:posOffset>-171450</wp:posOffset>
          </wp:positionH>
          <wp:positionV relativeFrom="paragraph">
            <wp:posOffset>132080</wp:posOffset>
          </wp:positionV>
          <wp:extent cx="6455410" cy="593725"/>
          <wp:effectExtent l="0" t="0" r="0" b="317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84" b="13035"/>
                  <a:stretch/>
                </pic:blipFill>
                <pic:spPr bwMode="auto">
                  <a:xfrm>
                    <a:off x="0" y="0"/>
                    <a:ext cx="6455410" cy="593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FC42CE" w14:textId="7645B01E" w:rsidR="00E562B3" w:rsidRDefault="00E562B3">
    <w:pPr>
      <w:pStyle w:val="Pidipagina"/>
    </w:pPr>
  </w:p>
  <w:p w14:paraId="2CF3910A" w14:textId="5BFDB23C" w:rsidR="00E562B3" w:rsidRDefault="00E562B3">
    <w:pPr>
      <w:pStyle w:val="Pidipagina"/>
    </w:pPr>
  </w:p>
  <w:p w14:paraId="2EAB8A07" w14:textId="77777777" w:rsidR="00E562B3" w:rsidRDefault="00E562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EA3B4" w14:textId="77777777" w:rsidR="00E4780A" w:rsidRDefault="00E4780A" w:rsidP="00EF3813">
      <w:pPr>
        <w:spacing w:after="0" w:line="240" w:lineRule="auto"/>
      </w:pPr>
      <w:r>
        <w:separator/>
      </w:r>
    </w:p>
  </w:footnote>
  <w:footnote w:type="continuationSeparator" w:id="0">
    <w:p w14:paraId="0A3320B1" w14:textId="77777777" w:rsidR="00E4780A" w:rsidRDefault="00E4780A" w:rsidP="00E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2C97"/>
    <w:multiLevelType w:val="hybridMultilevel"/>
    <w:tmpl w:val="BB30C09A"/>
    <w:lvl w:ilvl="0" w:tplc="7804D3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384F7F9A"/>
    <w:multiLevelType w:val="hybridMultilevel"/>
    <w:tmpl w:val="85C68A12"/>
    <w:lvl w:ilvl="0" w:tplc="660E97B6">
      <w:start w:val="1"/>
      <w:numFmt w:val="upperLetter"/>
      <w:lvlText w:val="%1)"/>
      <w:lvlJc w:val="left"/>
      <w:pPr>
        <w:ind w:left="10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48A34E57"/>
    <w:multiLevelType w:val="hybridMultilevel"/>
    <w:tmpl w:val="308CD32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16D7F"/>
    <w:multiLevelType w:val="hybridMultilevel"/>
    <w:tmpl w:val="57E09230"/>
    <w:lvl w:ilvl="0" w:tplc="7700BFE6">
      <w:start w:val="1"/>
      <w:numFmt w:val="upperLetter"/>
      <w:lvlText w:val="%1)"/>
      <w:lvlJc w:val="left"/>
      <w:pPr>
        <w:ind w:left="10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5987463A"/>
    <w:multiLevelType w:val="hybridMultilevel"/>
    <w:tmpl w:val="A4025826"/>
    <w:lvl w:ilvl="0" w:tplc="3E722A0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B0432"/>
    <w:multiLevelType w:val="hybridMultilevel"/>
    <w:tmpl w:val="54A4A5F2"/>
    <w:lvl w:ilvl="0" w:tplc="31AAAEAA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54"/>
    <w:rsid w:val="00000238"/>
    <w:rsid w:val="00006706"/>
    <w:rsid w:val="00020E76"/>
    <w:rsid w:val="00031B52"/>
    <w:rsid w:val="0003449C"/>
    <w:rsid w:val="00035F30"/>
    <w:rsid w:val="00042DED"/>
    <w:rsid w:val="00043C61"/>
    <w:rsid w:val="00060EC1"/>
    <w:rsid w:val="000720FB"/>
    <w:rsid w:val="00072450"/>
    <w:rsid w:val="000857F8"/>
    <w:rsid w:val="000900F8"/>
    <w:rsid w:val="00095421"/>
    <w:rsid w:val="00096949"/>
    <w:rsid w:val="000B6A69"/>
    <w:rsid w:val="000B780B"/>
    <w:rsid w:val="000D35CB"/>
    <w:rsid w:val="000D47AE"/>
    <w:rsid w:val="000E3CC5"/>
    <w:rsid w:val="0012144A"/>
    <w:rsid w:val="00122BCE"/>
    <w:rsid w:val="0012501F"/>
    <w:rsid w:val="00135C7E"/>
    <w:rsid w:val="001417E3"/>
    <w:rsid w:val="00151E20"/>
    <w:rsid w:val="00156D94"/>
    <w:rsid w:val="001575A5"/>
    <w:rsid w:val="001804A5"/>
    <w:rsid w:val="001A3BB2"/>
    <w:rsid w:val="001A6032"/>
    <w:rsid w:val="001D32AC"/>
    <w:rsid w:val="001E190A"/>
    <w:rsid w:val="001F43C5"/>
    <w:rsid w:val="00203309"/>
    <w:rsid w:val="002039D8"/>
    <w:rsid w:val="00215F89"/>
    <w:rsid w:val="002232E8"/>
    <w:rsid w:val="00247317"/>
    <w:rsid w:val="0024786E"/>
    <w:rsid w:val="0025373A"/>
    <w:rsid w:val="0027021D"/>
    <w:rsid w:val="0027134A"/>
    <w:rsid w:val="00277296"/>
    <w:rsid w:val="002941BB"/>
    <w:rsid w:val="002967EF"/>
    <w:rsid w:val="002A29F5"/>
    <w:rsid w:val="002A4565"/>
    <w:rsid w:val="002B4FC0"/>
    <w:rsid w:val="002C1506"/>
    <w:rsid w:val="002C247D"/>
    <w:rsid w:val="002D0F2A"/>
    <w:rsid w:val="002D1BEF"/>
    <w:rsid w:val="002D4E57"/>
    <w:rsid w:val="002D528B"/>
    <w:rsid w:val="002E5213"/>
    <w:rsid w:val="002F0264"/>
    <w:rsid w:val="002F4545"/>
    <w:rsid w:val="002F7512"/>
    <w:rsid w:val="00306536"/>
    <w:rsid w:val="00324431"/>
    <w:rsid w:val="003252E2"/>
    <w:rsid w:val="00342624"/>
    <w:rsid w:val="00361BA7"/>
    <w:rsid w:val="00371C6A"/>
    <w:rsid w:val="00385286"/>
    <w:rsid w:val="0039346E"/>
    <w:rsid w:val="0039595E"/>
    <w:rsid w:val="003B1F10"/>
    <w:rsid w:val="003C29E5"/>
    <w:rsid w:val="003C2F63"/>
    <w:rsid w:val="003D7B8C"/>
    <w:rsid w:val="003E01BA"/>
    <w:rsid w:val="003E08C7"/>
    <w:rsid w:val="003F3AD9"/>
    <w:rsid w:val="004011E9"/>
    <w:rsid w:val="00403E60"/>
    <w:rsid w:val="00422C5F"/>
    <w:rsid w:val="00435E19"/>
    <w:rsid w:val="00484328"/>
    <w:rsid w:val="00485B47"/>
    <w:rsid w:val="004901DD"/>
    <w:rsid w:val="00490CDB"/>
    <w:rsid w:val="0049170C"/>
    <w:rsid w:val="004928E4"/>
    <w:rsid w:val="00495226"/>
    <w:rsid w:val="004A71C3"/>
    <w:rsid w:val="004B68AA"/>
    <w:rsid w:val="004C7523"/>
    <w:rsid w:val="004D128E"/>
    <w:rsid w:val="004D50D7"/>
    <w:rsid w:val="004D5885"/>
    <w:rsid w:val="004E560E"/>
    <w:rsid w:val="004E788F"/>
    <w:rsid w:val="00502832"/>
    <w:rsid w:val="00505425"/>
    <w:rsid w:val="00510395"/>
    <w:rsid w:val="00512F60"/>
    <w:rsid w:val="005142E5"/>
    <w:rsid w:val="00516E1B"/>
    <w:rsid w:val="0052132B"/>
    <w:rsid w:val="00540A74"/>
    <w:rsid w:val="00550A9A"/>
    <w:rsid w:val="00551456"/>
    <w:rsid w:val="00553B2A"/>
    <w:rsid w:val="00562B05"/>
    <w:rsid w:val="00565455"/>
    <w:rsid w:val="00572835"/>
    <w:rsid w:val="0057348F"/>
    <w:rsid w:val="005754E0"/>
    <w:rsid w:val="00586279"/>
    <w:rsid w:val="005E5B4C"/>
    <w:rsid w:val="005F11B2"/>
    <w:rsid w:val="006039EA"/>
    <w:rsid w:val="006162D7"/>
    <w:rsid w:val="00616B14"/>
    <w:rsid w:val="00634422"/>
    <w:rsid w:val="00642B05"/>
    <w:rsid w:val="006467C3"/>
    <w:rsid w:val="006541EA"/>
    <w:rsid w:val="0066112C"/>
    <w:rsid w:val="00687C7E"/>
    <w:rsid w:val="006930DB"/>
    <w:rsid w:val="00697DF9"/>
    <w:rsid w:val="006A015F"/>
    <w:rsid w:val="006A317B"/>
    <w:rsid w:val="006A5987"/>
    <w:rsid w:val="006B190D"/>
    <w:rsid w:val="006D3711"/>
    <w:rsid w:val="006D6848"/>
    <w:rsid w:val="006F5EE1"/>
    <w:rsid w:val="0070353A"/>
    <w:rsid w:val="0074110C"/>
    <w:rsid w:val="0074477A"/>
    <w:rsid w:val="00785F82"/>
    <w:rsid w:val="00791118"/>
    <w:rsid w:val="0079168E"/>
    <w:rsid w:val="00797906"/>
    <w:rsid w:val="007A6CA0"/>
    <w:rsid w:val="007A73E5"/>
    <w:rsid w:val="007B6D95"/>
    <w:rsid w:val="007C4ADD"/>
    <w:rsid w:val="007D6E0C"/>
    <w:rsid w:val="007D71A8"/>
    <w:rsid w:val="007E5B3B"/>
    <w:rsid w:val="007E756F"/>
    <w:rsid w:val="007F1D4D"/>
    <w:rsid w:val="007F6B68"/>
    <w:rsid w:val="007F7FB5"/>
    <w:rsid w:val="00802705"/>
    <w:rsid w:val="00805456"/>
    <w:rsid w:val="00815ACE"/>
    <w:rsid w:val="00831335"/>
    <w:rsid w:val="00840B77"/>
    <w:rsid w:val="00842452"/>
    <w:rsid w:val="00844B12"/>
    <w:rsid w:val="0084681A"/>
    <w:rsid w:val="00852438"/>
    <w:rsid w:val="00854238"/>
    <w:rsid w:val="0086786C"/>
    <w:rsid w:val="0087365E"/>
    <w:rsid w:val="00874756"/>
    <w:rsid w:val="00874978"/>
    <w:rsid w:val="00875263"/>
    <w:rsid w:val="00880D89"/>
    <w:rsid w:val="00884C0A"/>
    <w:rsid w:val="0089180D"/>
    <w:rsid w:val="008A24E3"/>
    <w:rsid w:val="008C1B1D"/>
    <w:rsid w:val="008C38C6"/>
    <w:rsid w:val="008C4CED"/>
    <w:rsid w:val="008D22DB"/>
    <w:rsid w:val="008E1D0E"/>
    <w:rsid w:val="008E53EA"/>
    <w:rsid w:val="009222D7"/>
    <w:rsid w:val="00924851"/>
    <w:rsid w:val="00934414"/>
    <w:rsid w:val="00936317"/>
    <w:rsid w:val="009451B8"/>
    <w:rsid w:val="00961BC7"/>
    <w:rsid w:val="009729AC"/>
    <w:rsid w:val="00997782"/>
    <w:rsid w:val="009A580D"/>
    <w:rsid w:val="009B41E1"/>
    <w:rsid w:val="009C65BA"/>
    <w:rsid w:val="009C6E45"/>
    <w:rsid w:val="009D0D9E"/>
    <w:rsid w:val="009D3045"/>
    <w:rsid w:val="009D68FB"/>
    <w:rsid w:val="009F4FC2"/>
    <w:rsid w:val="00A0715F"/>
    <w:rsid w:val="00A144A5"/>
    <w:rsid w:val="00A15D81"/>
    <w:rsid w:val="00A17A50"/>
    <w:rsid w:val="00A20226"/>
    <w:rsid w:val="00A44E29"/>
    <w:rsid w:val="00A453E8"/>
    <w:rsid w:val="00A50097"/>
    <w:rsid w:val="00A545E3"/>
    <w:rsid w:val="00A66FA2"/>
    <w:rsid w:val="00A94393"/>
    <w:rsid w:val="00AA0D8C"/>
    <w:rsid w:val="00AA3632"/>
    <w:rsid w:val="00AB4FF2"/>
    <w:rsid w:val="00AD270C"/>
    <w:rsid w:val="00AD681F"/>
    <w:rsid w:val="00AE36DB"/>
    <w:rsid w:val="00AF31EA"/>
    <w:rsid w:val="00AF6396"/>
    <w:rsid w:val="00B03D24"/>
    <w:rsid w:val="00B1251C"/>
    <w:rsid w:val="00B2076D"/>
    <w:rsid w:val="00B404E5"/>
    <w:rsid w:val="00B6696C"/>
    <w:rsid w:val="00B73609"/>
    <w:rsid w:val="00B82C9D"/>
    <w:rsid w:val="00B8645D"/>
    <w:rsid w:val="00B97898"/>
    <w:rsid w:val="00BA3EE2"/>
    <w:rsid w:val="00BC2470"/>
    <w:rsid w:val="00BD1720"/>
    <w:rsid w:val="00BE1DB3"/>
    <w:rsid w:val="00BF741E"/>
    <w:rsid w:val="00BF7A26"/>
    <w:rsid w:val="00C0593E"/>
    <w:rsid w:val="00C209AA"/>
    <w:rsid w:val="00C23183"/>
    <w:rsid w:val="00C35EA5"/>
    <w:rsid w:val="00C372D9"/>
    <w:rsid w:val="00C404BD"/>
    <w:rsid w:val="00C81742"/>
    <w:rsid w:val="00C8690F"/>
    <w:rsid w:val="00C87524"/>
    <w:rsid w:val="00C877C4"/>
    <w:rsid w:val="00CC0AD6"/>
    <w:rsid w:val="00CC6A16"/>
    <w:rsid w:val="00CC6F24"/>
    <w:rsid w:val="00CD341E"/>
    <w:rsid w:val="00CD37A1"/>
    <w:rsid w:val="00CE75AB"/>
    <w:rsid w:val="00D02440"/>
    <w:rsid w:val="00D258D5"/>
    <w:rsid w:val="00D25D26"/>
    <w:rsid w:val="00D6482B"/>
    <w:rsid w:val="00D851D2"/>
    <w:rsid w:val="00DC1FD7"/>
    <w:rsid w:val="00DC306B"/>
    <w:rsid w:val="00DC3564"/>
    <w:rsid w:val="00DC6437"/>
    <w:rsid w:val="00DD6626"/>
    <w:rsid w:val="00DE616A"/>
    <w:rsid w:val="00DF2BE9"/>
    <w:rsid w:val="00DF2E7B"/>
    <w:rsid w:val="00DF386B"/>
    <w:rsid w:val="00DF6C0A"/>
    <w:rsid w:val="00E06146"/>
    <w:rsid w:val="00E066CF"/>
    <w:rsid w:val="00E25ABA"/>
    <w:rsid w:val="00E27356"/>
    <w:rsid w:val="00E338A4"/>
    <w:rsid w:val="00E3477E"/>
    <w:rsid w:val="00E36C96"/>
    <w:rsid w:val="00E40DC1"/>
    <w:rsid w:val="00E4780A"/>
    <w:rsid w:val="00E530EE"/>
    <w:rsid w:val="00E562B3"/>
    <w:rsid w:val="00E62C94"/>
    <w:rsid w:val="00E70415"/>
    <w:rsid w:val="00E72976"/>
    <w:rsid w:val="00E77EDD"/>
    <w:rsid w:val="00E930CB"/>
    <w:rsid w:val="00EC0462"/>
    <w:rsid w:val="00EC057D"/>
    <w:rsid w:val="00EC3A77"/>
    <w:rsid w:val="00EC4549"/>
    <w:rsid w:val="00EC7558"/>
    <w:rsid w:val="00EF0D0C"/>
    <w:rsid w:val="00EF3813"/>
    <w:rsid w:val="00F0400E"/>
    <w:rsid w:val="00F15539"/>
    <w:rsid w:val="00F15A99"/>
    <w:rsid w:val="00F849AF"/>
    <w:rsid w:val="00F86633"/>
    <w:rsid w:val="00FA321B"/>
    <w:rsid w:val="00FB55D0"/>
    <w:rsid w:val="00FD0354"/>
    <w:rsid w:val="00FD6F68"/>
    <w:rsid w:val="00FE2019"/>
    <w:rsid w:val="00FE3754"/>
    <w:rsid w:val="00FF363A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6698"/>
  <w15:docId w15:val="{8F5C33F1-8C39-4EF8-AF13-36FC995D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5F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  <w:style w:type="table" w:customStyle="1" w:styleId="TableNormal1">
    <w:name w:val="Table Normal1"/>
    <w:uiPriority w:val="2"/>
    <w:semiHidden/>
    <w:unhideWhenUsed/>
    <w:qFormat/>
    <w:rsid w:val="00CC6A1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4ECA3-A1EF-4959-AD30-D70DB7D3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Carla  Algieri</cp:lastModifiedBy>
  <cp:revision>48</cp:revision>
  <dcterms:created xsi:type="dcterms:W3CDTF">2022-12-12T15:51:00Z</dcterms:created>
  <dcterms:modified xsi:type="dcterms:W3CDTF">2023-06-20T15:28:00Z</dcterms:modified>
</cp:coreProperties>
</file>