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207CB" w:rsidRPr="00D65F09" w:rsidTr="0057688E">
        <w:tc>
          <w:tcPr>
            <w:tcW w:w="3227" w:type="dxa"/>
            <w:shd w:val="clear" w:color="auto" w:fill="auto"/>
            <w:vAlign w:val="center"/>
          </w:tcPr>
          <w:p w:rsidR="009207CB" w:rsidRPr="00D65F09" w:rsidRDefault="009207CB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65F0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:rsidR="009207CB" w:rsidRPr="00D65F09" w:rsidRDefault="009207CB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65F0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094F7C" w:rsidRPr="008E4098" w:rsidRDefault="00094F7C" w:rsidP="00094F7C">
            <w:pPr>
              <w:tabs>
                <w:tab w:val="left" w:pos="3168"/>
              </w:tabs>
              <w:spacing w:after="0" w:line="312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8E409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Gara europea a procedura aperta ai sensi dell’art. 60, D.lgs. 50/2016 e </w:t>
            </w:r>
            <w:proofErr w:type="spellStart"/>
            <w:r w:rsidRPr="008E409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ss.mm.ii</w:t>
            </w:r>
            <w:proofErr w:type="spellEnd"/>
            <w:r w:rsidRPr="008E409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., per l’affidamento </w:t>
            </w:r>
            <w:r w:rsidRPr="00EF247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del “</w:t>
            </w:r>
            <w:bookmarkStart w:id="0" w:name="_Hlk135643241"/>
            <w:r w:rsidRPr="00EF247B">
              <w:rPr>
                <w:rFonts w:ascii="Century Gothic" w:hAnsi="Century Gothic"/>
                <w:sz w:val="20"/>
                <w:szCs w:val="20"/>
              </w:rPr>
              <w:t>Servizio di brokeraggio assicurativo professionale</w:t>
            </w:r>
            <w:bookmarkEnd w:id="0"/>
            <w:r w:rsidRPr="00EF247B">
              <w:rPr>
                <w:rFonts w:ascii="Century Gothic" w:hAnsi="Century Gothic"/>
                <w:sz w:val="20"/>
                <w:szCs w:val="20"/>
              </w:rPr>
              <w:t>”</w:t>
            </w:r>
          </w:p>
          <w:p w:rsidR="00094F7C" w:rsidRPr="00625850" w:rsidRDefault="00094F7C" w:rsidP="00094F7C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CIG</w:t>
            </w:r>
            <w:r w:rsidR="00235B09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 </w:t>
            </w:r>
            <w:r w:rsidR="00235B09" w:rsidRPr="00235B0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9865512E09</w:t>
            </w:r>
          </w:p>
          <w:p w:rsidR="00386440" w:rsidRPr="00D65F09" w:rsidRDefault="00094F7C" w:rsidP="00094F7C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CUI </w:t>
            </w:r>
            <w:r w:rsidR="00E62CBC" w:rsidRPr="002557DC"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  <w:t>S00518460019202300072</w:t>
            </w:r>
          </w:p>
        </w:tc>
      </w:tr>
    </w:tbl>
    <w:p w:rsidR="00987C53" w:rsidRPr="00D65F09" w:rsidRDefault="00987C53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9207CB" w:rsidRPr="00D65F09" w:rsidRDefault="009207CB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65F09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65F09" w:rsidRDefault="00987C53" w:rsidP="00C71CD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65F09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ALLEGATO </w:t>
            </w:r>
            <w:r w:rsidR="00CC5DD9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4.1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65F09" w:rsidRDefault="00987C53" w:rsidP="00B02FBE">
            <w:pPr>
              <w:tabs>
                <w:tab w:val="left" w:pos="426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65F09">
              <w:rPr>
                <w:rFonts w:ascii="Century Gothic" w:hAnsi="Century Gothic"/>
                <w:b/>
                <w:sz w:val="20"/>
                <w:szCs w:val="20"/>
              </w:rPr>
              <w:t xml:space="preserve">Dichiarazioni </w:t>
            </w:r>
            <w:r w:rsidR="00B02FBE" w:rsidRPr="00D65F09">
              <w:rPr>
                <w:rFonts w:ascii="Century Gothic" w:hAnsi="Century Gothic"/>
                <w:b/>
                <w:sz w:val="20"/>
                <w:szCs w:val="20"/>
              </w:rPr>
              <w:t>rese dall’ausiliaria ad integrazione del documento di gara unico europeo (DGUE)</w:t>
            </w:r>
          </w:p>
        </w:tc>
      </w:tr>
    </w:tbl>
    <w:p w:rsidR="00987C53" w:rsidRPr="00D65F09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Il sottoscritto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nato il </w:t>
      </w:r>
      <w:r w:rsidRPr="00D65F09">
        <w:rPr>
          <w:rFonts w:ascii="Century Gothic" w:hAnsi="Century Gothic"/>
          <w:lang w:val="it-IT"/>
        </w:rPr>
        <w:tab/>
        <w:t xml:space="preserve"> a </w:t>
      </w:r>
      <w:r w:rsidRPr="00D65F09">
        <w:rPr>
          <w:rFonts w:ascii="Century Gothic" w:hAnsi="Century Gothic"/>
          <w:lang w:val="it-IT"/>
        </w:rPr>
        <w:tab/>
        <w:t xml:space="preserve"> (Pr)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Codice Fiscale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in qualità di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dell’impresa ausiliaria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con sede legale in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tel. </w:t>
      </w:r>
      <w:r w:rsidRPr="00D65F09">
        <w:rPr>
          <w:rFonts w:ascii="Century Gothic" w:hAnsi="Century Gothic"/>
          <w:lang w:val="it-IT"/>
        </w:rPr>
        <w:tab/>
        <w:t xml:space="preserve"> fax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proofErr w:type="spellStart"/>
      <w:r w:rsidRPr="00D65F09">
        <w:rPr>
          <w:rFonts w:ascii="Century Gothic" w:hAnsi="Century Gothic"/>
          <w:lang w:val="it-IT"/>
        </w:rPr>
        <w:t>cell</w:t>
      </w:r>
      <w:proofErr w:type="spellEnd"/>
      <w:r w:rsidRPr="00D65F09">
        <w:rPr>
          <w:rFonts w:ascii="Century Gothic" w:hAnsi="Century Gothic"/>
          <w:lang w:val="it-IT"/>
        </w:rPr>
        <w:t xml:space="preserve">. </w:t>
      </w:r>
      <w:r w:rsidRPr="00D65F09">
        <w:rPr>
          <w:rFonts w:ascii="Century Gothic" w:hAnsi="Century Gothic"/>
          <w:lang w:val="it-IT"/>
        </w:rPr>
        <w:tab/>
        <w:t xml:space="preserve"> e-mail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>sito web ____________________________________ PEC _______</w:t>
      </w:r>
      <w:r w:rsidR="00987C53" w:rsidRPr="00D65F09">
        <w:rPr>
          <w:rFonts w:ascii="Century Gothic" w:hAnsi="Century Gothic"/>
          <w:lang w:val="it-IT"/>
        </w:rPr>
        <w:t>____________________</w:t>
      </w:r>
      <w:r w:rsidR="00F05493" w:rsidRPr="00D65F09">
        <w:rPr>
          <w:rFonts w:ascii="Century Gothic" w:hAnsi="Century Gothic"/>
          <w:lang w:val="it-IT"/>
        </w:rPr>
        <w:t>_______</w:t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con sede amministrativa in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tel. </w:t>
      </w:r>
      <w:r w:rsidRPr="00D65F09">
        <w:rPr>
          <w:rFonts w:ascii="Century Gothic" w:hAnsi="Century Gothic"/>
          <w:lang w:val="it-IT"/>
        </w:rPr>
        <w:tab/>
        <w:t xml:space="preserve"> fax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partita IVA n. </w:t>
      </w:r>
      <w:r w:rsidRPr="00D65F09">
        <w:rPr>
          <w:rFonts w:ascii="Century Gothic" w:hAnsi="Century Gothic"/>
          <w:lang w:val="it-IT"/>
        </w:rPr>
        <w:tab/>
      </w:r>
    </w:p>
    <w:p w:rsidR="00EB15DF" w:rsidRPr="00D65F09" w:rsidRDefault="00EB15DF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:rsidR="00FB2217" w:rsidRPr="00D65F09" w:rsidRDefault="00FB2217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B2667C" w:rsidRPr="00300652" w:rsidRDefault="00B2667C" w:rsidP="003006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00652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relazione </w:t>
      </w:r>
      <w:r w:rsidRPr="00B025BE">
        <w:rPr>
          <w:rFonts w:ascii="Century Gothic" w:hAnsi="Century Gothic"/>
          <w:b/>
          <w:color w:val="0070C0"/>
          <w:sz w:val="20"/>
          <w:szCs w:val="20"/>
        </w:rPr>
        <w:t>al paragrafo 1</w:t>
      </w:r>
      <w:r w:rsidR="00235B0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B025BE">
        <w:rPr>
          <w:rFonts w:ascii="Century Gothic" w:hAnsi="Century Gothic"/>
          <w:b/>
          <w:color w:val="0070C0"/>
          <w:sz w:val="20"/>
          <w:szCs w:val="20"/>
        </w:rPr>
        <w:t>.1.1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 </w:t>
      </w:r>
    </w:p>
    <w:p w:rsidR="00300652" w:rsidRPr="00D65F09" w:rsidRDefault="00300652" w:rsidP="00300652">
      <w:pPr>
        <w:spacing w:after="0" w:line="240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B2667C" w:rsidRDefault="00B2667C" w:rsidP="008055AE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8"/>
          <w:lang w:bidi="it-IT"/>
        </w:rPr>
      </w:pPr>
      <w:r w:rsidRPr="008055AE">
        <w:rPr>
          <w:rFonts w:ascii="Century Gothic" w:eastAsia="Calibri" w:hAnsi="Century Gothic" w:cs="Times New Roman"/>
          <w:sz w:val="20"/>
          <w:szCs w:val="28"/>
          <w:lang w:bidi="it-IT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 w:rsidRPr="008055AE">
        <w:rPr>
          <w:rFonts w:ascii="Century Gothic" w:eastAsia="Calibri" w:hAnsi="Century Gothic" w:cs="Times New Roman"/>
          <w:sz w:val="20"/>
          <w:szCs w:val="28"/>
          <w:lang w:bidi="it-IT"/>
        </w:rPr>
        <w:t>.</w:t>
      </w:r>
    </w:p>
    <w:p w:rsidR="008055AE" w:rsidRPr="008055AE" w:rsidRDefault="008055AE" w:rsidP="008055AE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8"/>
          <w:lang w:bidi="it-IT"/>
        </w:rPr>
      </w:pPr>
    </w:p>
    <w:tbl>
      <w:tblPr>
        <w:tblStyle w:val="Grigliatabella"/>
        <w:tblW w:w="0" w:type="auto"/>
        <w:tblInd w:w="847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560"/>
        <w:gridCol w:w="1417"/>
        <w:gridCol w:w="1276"/>
      </w:tblGrid>
      <w:tr w:rsidR="00B2667C" w:rsidRPr="00D65F09" w:rsidTr="00D95B4E">
        <w:tc>
          <w:tcPr>
            <w:tcW w:w="1418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667C" w:rsidRPr="00D65F09" w:rsidRDefault="00B2667C" w:rsidP="00D95B4E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B2667C" w:rsidRPr="00D65F09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EC67D2" w:rsidRPr="00AE3E82" w:rsidRDefault="00EC67D2" w:rsidP="00AE3E82">
      <w:pPr>
        <w:ind w:left="720"/>
        <w:contextualSpacing/>
        <w:jc w:val="both"/>
        <w:rPr>
          <w:rFonts w:ascii="Century Gothic" w:eastAsia="Calibri" w:hAnsi="Century Gothic" w:cs="Times New Roman"/>
          <w:i/>
          <w:sz w:val="20"/>
          <w:szCs w:val="28"/>
          <w:lang w:bidi="it-IT"/>
        </w:rPr>
      </w:pPr>
      <w:r w:rsidRPr="00AE3E82">
        <w:rPr>
          <w:rFonts w:ascii="Century Gothic" w:eastAsia="Calibri" w:hAnsi="Century Gothic" w:cs="Times New Roman"/>
          <w:i/>
          <w:sz w:val="20"/>
          <w:szCs w:val="28"/>
          <w:lang w:bidi="it-IT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:rsidR="00AE3E82" w:rsidRPr="00AE3E82" w:rsidRDefault="00AE3E82" w:rsidP="00AE3E82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8"/>
          <w:lang w:bidi="it-IT"/>
        </w:rPr>
      </w:pPr>
    </w:p>
    <w:p w:rsidR="00A02C51" w:rsidRPr="00D65F09" w:rsidRDefault="00A02C51" w:rsidP="003006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235B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4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.1.3 del disciplinare di gara, 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>dichiara che a carico dei soggetti di cui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 w:bidi="it-IT"/>
        </w:rPr>
        <w:t xml:space="preserve"> all’art. 80 comma 3: </w:t>
      </w:r>
      <w:r w:rsidRPr="00D65F09">
        <w:rPr>
          <w:rFonts w:ascii="Century Gothic" w:eastAsia="Times New Roman" w:hAnsi="Century Gothic" w:cs="Times New Roman"/>
          <w:i/>
          <w:sz w:val="20"/>
          <w:szCs w:val="20"/>
          <w:lang w:eastAsia="it-IT" w:bidi="it-IT"/>
        </w:rPr>
        <w:t xml:space="preserve"> 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A02C51" w:rsidRPr="00F65C6A" w:rsidRDefault="00A02C51" w:rsidP="00F65C6A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="0050601A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sussistono le cause di decadenza, di sospensione o di divieto previste dall'</w:t>
      </w:r>
      <w:hyperlink r:id="rId8" w:anchor="067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articolo 67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o di un tentativo di infiltrazione mafiosa di cui all'</w:t>
      </w:r>
      <w:hyperlink r:id="rId9" w:anchor="084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articolo 84, comma 4, del medesimo decreto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10" w:anchor="088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articoli 88, comma 4-bis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1" w:anchor="092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92, commi 2 e 3,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  <w:r w:rsidR="00A67973"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A67973" w:rsidRPr="00D65F09" w:rsidRDefault="00A02C51" w:rsidP="00A67973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="0050601A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non sussistono le cause di decadenza, di sospensione o di divieto previste dall'</w:t>
      </w:r>
      <w:hyperlink r:id="rId12" w:anchor="067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articolo 67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 o di un tentativo di infiltrazione mafiosa di cui all'</w:t>
      </w:r>
      <w:hyperlink r:id="rId13" w:anchor="084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articolo 84, comma 4, del medesimo decreto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14" w:anchor="088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articoli 88, comma 4-bis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5" w:anchor="092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92, commi 2 e 3,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02C51" w:rsidRPr="00D65F09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235B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4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</w:t>
      </w:r>
      <w:r w:rsidR="00855492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6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D65F09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 xml:space="preserve"> </w:t>
      </w:r>
      <w:r w:rsidRPr="00D65F09">
        <w:rPr>
          <w:rFonts w:ascii="Century Gothic" w:eastAsia="Calibri" w:hAnsi="Century Gothic" w:cs="Times New Roman"/>
          <w:sz w:val="20"/>
          <w:szCs w:val="20"/>
        </w:rPr>
        <w:t>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c-bis del Codice);</w:t>
      </w:r>
    </w:p>
    <w:p w:rsidR="00A02C51" w:rsidRPr="00D65F09" w:rsidRDefault="00A02C51" w:rsidP="00B2667C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02C51" w:rsidRPr="00D65F09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235B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4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</w:t>
      </w:r>
      <w:r w:rsidR="007B43D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7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D65F09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  <w:r w:rsidRPr="00D65F09">
        <w:rPr>
          <w:rFonts w:ascii="Century Gothic" w:eastAsia="Calibri" w:hAnsi="Century Gothic" w:cs="Times New Roman"/>
          <w:sz w:val="20"/>
          <w:szCs w:val="20"/>
          <w:u w:val="single"/>
          <w:lang w:bidi="it-IT"/>
        </w:rPr>
        <w:t>In caso affermativo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fornisce informazioni dettagliate da allegare al presente modello. 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F96239" w:rsidRPr="00D65F09" w:rsidRDefault="00A02C51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</w:p>
    <w:p w:rsidR="00F96239" w:rsidRPr="00D65F09" w:rsidRDefault="00F96239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E3E18" w:rsidRPr="00D65F09" w:rsidRDefault="00AE3E18" w:rsidP="00F962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235B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4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</w:t>
      </w:r>
      <w:r w:rsidR="00BA43C2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8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D65F09">
        <w:rPr>
          <w:rFonts w:ascii="Century Gothic" w:hAnsi="Century Gothic"/>
          <w:i/>
          <w:sz w:val="20"/>
          <w:szCs w:val="20"/>
        </w:rPr>
        <w:t>lett. c-quater</w:t>
      </w:r>
      <w:r w:rsidRPr="00D65F09">
        <w:rPr>
          <w:rFonts w:ascii="Century Gothic" w:hAnsi="Century Gothic"/>
          <w:sz w:val="20"/>
          <w:szCs w:val="20"/>
        </w:rPr>
        <w:t xml:space="preserve">).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50601A">
        <w:rPr>
          <w:rFonts w:ascii="Century Gothic" w:hAnsi="Century Gothic"/>
          <w:sz w:val="28"/>
          <w:szCs w:val="28"/>
        </w:rPr>
        <w:t xml:space="preserve"> </w:t>
      </w:r>
      <w:r w:rsidRPr="00D65F09">
        <w:rPr>
          <w:rFonts w:ascii="Century Gothic" w:hAnsi="Century Gothic"/>
          <w:sz w:val="20"/>
          <w:szCs w:val="20"/>
        </w:rPr>
        <w:t xml:space="preserve">non aver commesso grave inadempimento nei confronti di uno o più subappaltatori, riconosciuto o accertato con sentenza passata in giudicato (art. 80, comma 5, </w:t>
      </w:r>
      <w:r w:rsidRPr="00D65F09">
        <w:rPr>
          <w:rFonts w:ascii="Century Gothic" w:hAnsi="Century Gothic"/>
          <w:i/>
          <w:sz w:val="20"/>
          <w:szCs w:val="20"/>
        </w:rPr>
        <w:t>lett. c-quater</w:t>
      </w:r>
      <w:r w:rsidRPr="00D65F09">
        <w:rPr>
          <w:rFonts w:ascii="Century Gothic" w:hAnsi="Century Gothic"/>
          <w:sz w:val="20"/>
          <w:szCs w:val="20"/>
        </w:rPr>
        <w:t>).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:rsidR="00AE3E18" w:rsidRPr="00D65F09" w:rsidRDefault="00AE3E18" w:rsidP="00FF4868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D65F09">
        <w:rPr>
          <w:rFonts w:ascii="Century Gothic" w:hAnsi="Century Gothic"/>
          <w:b/>
          <w:color w:val="0070C0"/>
          <w:sz w:val="20"/>
          <w:szCs w:val="20"/>
        </w:rPr>
        <w:t>In relazione al paragr</w:t>
      </w:r>
      <w:r w:rsidRPr="00D3303C">
        <w:rPr>
          <w:rFonts w:ascii="Century Gothic" w:hAnsi="Century Gothic"/>
          <w:b/>
          <w:color w:val="0070C0"/>
          <w:sz w:val="20"/>
          <w:szCs w:val="20"/>
        </w:rPr>
        <w:t>afo 1</w:t>
      </w:r>
      <w:r w:rsidR="00235B0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3303C">
        <w:rPr>
          <w:rFonts w:ascii="Century Gothic" w:hAnsi="Century Gothic"/>
          <w:b/>
          <w:color w:val="0070C0"/>
          <w:sz w:val="20"/>
          <w:szCs w:val="20"/>
        </w:rPr>
        <w:t>.1.</w:t>
      </w:r>
      <w:r w:rsidR="000D5BE7">
        <w:rPr>
          <w:rFonts w:ascii="Century Gothic" w:hAnsi="Century Gothic"/>
          <w:b/>
          <w:color w:val="0070C0"/>
          <w:sz w:val="20"/>
          <w:szCs w:val="20"/>
        </w:rPr>
        <w:t>10</w:t>
      </w:r>
      <w:r w:rsidRPr="00D3303C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</w:t>
      </w:r>
      <w:r w:rsidR="00D3303C">
        <w:rPr>
          <w:rFonts w:ascii="Century Gothic" w:hAnsi="Century Gothic"/>
          <w:b/>
          <w:color w:val="4472C4" w:themeColor="accent5"/>
          <w:sz w:val="20"/>
          <w:szCs w:val="20"/>
        </w:rPr>
        <w:t>,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D65F09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avere commesso una distorsione della concorrenza derivante dal precedente coinvolgimento degli operatori economici nella preparazione della procedura d'appalto di cui all'articolo 67 (art. 80, co. 5, </w:t>
      </w:r>
      <w:r w:rsidRPr="00D65F09">
        <w:rPr>
          <w:rFonts w:ascii="Century Gothic" w:hAnsi="Century Gothic"/>
          <w:i/>
          <w:sz w:val="20"/>
          <w:szCs w:val="20"/>
        </w:rPr>
        <w:t>lett. e</w:t>
      </w:r>
      <w:r w:rsidRPr="00D65F09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non avere commesso una distorsione della concorrenza derivante dal precedente coinvolgimento degli operatori economici nella preparazione della procedura d'appalto di cui all'articolo 67 (art. 80, co. 5, </w:t>
      </w:r>
      <w:r w:rsidRPr="00D65F09">
        <w:rPr>
          <w:rFonts w:ascii="Century Gothic" w:hAnsi="Century Gothic"/>
          <w:i/>
          <w:sz w:val="20"/>
          <w:szCs w:val="20"/>
        </w:rPr>
        <w:t>lett. e</w:t>
      </w:r>
      <w:r w:rsidRPr="00D65F09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D65F09" w:rsidRDefault="00AE3E18" w:rsidP="00AE3E18">
      <w:pPr>
        <w:jc w:val="both"/>
        <w:rPr>
          <w:rFonts w:ascii="Century Gothic" w:hAnsi="Century Gothic"/>
          <w:color w:val="0070C0"/>
          <w:sz w:val="20"/>
          <w:szCs w:val="20"/>
        </w:rPr>
      </w:pPr>
    </w:p>
    <w:p w:rsidR="00AE3E18" w:rsidRPr="00D65F09" w:rsidRDefault="00AE3E18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D65F09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235B0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0D5BE7">
        <w:rPr>
          <w:rFonts w:ascii="Century Gothic" w:hAnsi="Century Gothic"/>
          <w:b/>
          <w:color w:val="0070C0"/>
          <w:sz w:val="20"/>
          <w:szCs w:val="20"/>
        </w:rPr>
        <w:t>2</w:t>
      </w:r>
      <w:r w:rsidRPr="00D65F09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65F09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D65F09">
        <w:rPr>
          <w:rFonts w:ascii="Century Gothic" w:hAnsi="Century Gothic"/>
          <w:i/>
          <w:sz w:val="20"/>
          <w:szCs w:val="20"/>
        </w:rPr>
        <w:t>lett. f-bis</w:t>
      </w:r>
      <w:r w:rsidRPr="00D65F09">
        <w:rPr>
          <w:rFonts w:ascii="Century Gothic" w:hAnsi="Century Gothic"/>
          <w:sz w:val="20"/>
          <w:szCs w:val="20"/>
        </w:rPr>
        <w:t>)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D65F09">
        <w:rPr>
          <w:rFonts w:ascii="Century Gothic" w:hAnsi="Century Gothic"/>
          <w:i/>
          <w:sz w:val="20"/>
          <w:szCs w:val="20"/>
        </w:rPr>
        <w:t>lett. f-bis</w:t>
      </w:r>
      <w:r w:rsidRPr="00D65F09">
        <w:rPr>
          <w:rFonts w:ascii="Century Gothic" w:hAnsi="Century Gothic"/>
          <w:sz w:val="20"/>
          <w:szCs w:val="20"/>
        </w:rPr>
        <w:t>)</w:t>
      </w:r>
    </w:p>
    <w:p w:rsidR="00AE3E18" w:rsidRPr="00D65F09" w:rsidRDefault="00AE3E18" w:rsidP="00AE3E18">
      <w:pPr>
        <w:ind w:left="720"/>
        <w:contextualSpacing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D65F09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235B09">
        <w:rPr>
          <w:rFonts w:ascii="Century Gothic" w:hAnsi="Century Gothic"/>
          <w:b/>
          <w:color w:val="0070C0"/>
          <w:sz w:val="20"/>
          <w:szCs w:val="20"/>
        </w:rPr>
        <w:t>4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0D5BE7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65F09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>essere</w:t>
      </w:r>
      <w:r w:rsidRPr="00D65F09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D65F09">
        <w:rPr>
          <w:rFonts w:ascii="Century Gothic" w:hAnsi="Century Gothic"/>
          <w:sz w:val="20"/>
          <w:szCs w:val="20"/>
        </w:rPr>
        <w:t xml:space="preserve">(art. 80, comma 5, </w:t>
      </w:r>
      <w:r w:rsidRPr="00D65F09">
        <w:rPr>
          <w:rFonts w:ascii="Century Gothic" w:hAnsi="Century Gothic"/>
          <w:i/>
          <w:sz w:val="20"/>
          <w:szCs w:val="20"/>
        </w:rPr>
        <w:t>lett. f-ter</w:t>
      </w:r>
      <w:r w:rsidRPr="00D65F09">
        <w:rPr>
          <w:rFonts w:ascii="Century Gothic" w:hAnsi="Century Gothic"/>
          <w:sz w:val="20"/>
          <w:szCs w:val="20"/>
        </w:rPr>
        <w:t>)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Default="00AE3E18" w:rsidP="00AE3E18">
      <w:pPr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E042E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>non essere</w:t>
      </w:r>
      <w:r w:rsidRPr="00D65F09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 </w:t>
      </w:r>
      <w:r w:rsidRPr="00D65F09">
        <w:rPr>
          <w:rFonts w:ascii="Century Gothic" w:hAnsi="Century Gothic"/>
          <w:sz w:val="20"/>
          <w:szCs w:val="20"/>
        </w:rPr>
        <w:t xml:space="preserve">(art. 80, comma 5, </w:t>
      </w:r>
      <w:r w:rsidRPr="00D65F09">
        <w:rPr>
          <w:rFonts w:ascii="Century Gothic" w:hAnsi="Century Gothic"/>
          <w:i/>
          <w:sz w:val="20"/>
          <w:szCs w:val="20"/>
        </w:rPr>
        <w:t>lett. f-ter)</w:t>
      </w:r>
    </w:p>
    <w:p w:rsidR="000D5BE7" w:rsidRPr="00D65F09" w:rsidRDefault="000D5BE7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0D5BE7" w:rsidRPr="00C14AFC" w:rsidRDefault="000D5BE7" w:rsidP="000D5BE7">
      <w:pPr>
        <w:widowControl w:val="0"/>
        <w:tabs>
          <w:tab w:val="num" w:pos="567"/>
          <w:tab w:val="left" w:pos="1134"/>
        </w:tabs>
        <w:spacing w:after="0" w:line="312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C14AFC">
        <w:rPr>
          <w:rFonts w:ascii="Century Gothic" w:hAnsi="Century Gothic"/>
          <w:b/>
          <w:sz w:val="20"/>
          <w:szCs w:val="20"/>
        </w:rPr>
        <w:t>DICHIARA INOLTRE</w:t>
      </w:r>
    </w:p>
    <w:p w:rsidR="000D5BE7" w:rsidRPr="00C14AFC" w:rsidRDefault="000D5BE7" w:rsidP="00BB13B7">
      <w:pPr>
        <w:spacing w:after="0" w:line="360" w:lineRule="auto"/>
        <w:ind w:left="2832" w:hanging="2484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3C0BCF" w:rsidRPr="00BF4C23" w:rsidRDefault="003C0BCF" w:rsidP="003C0BCF">
      <w:pPr>
        <w:pStyle w:val="Paragrafoelenco"/>
        <w:widowControl w:val="0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F4C23">
        <w:rPr>
          <w:rFonts w:ascii="Century Gothic" w:hAnsi="Century Gothic"/>
          <w:sz w:val="20"/>
          <w:szCs w:val="20"/>
        </w:rPr>
        <w:t xml:space="preserve">di aver preso visione dell’informativa sul trattamento dei dati personali operato dal Politecnico di Torino in qualità di Titolare del trattamento, resa ai sensi dell’art. 13 del </w:t>
      </w:r>
      <w:r w:rsidRPr="00BF4C23">
        <w:rPr>
          <w:rFonts w:ascii="Century Gothic" w:hAnsi="Century Gothic"/>
          <w:sz w:val="20"/>
          <w:szCs w:val="20"/>
        </w:rPr>
        <w:lastRenderedPageBreak/>
        <w:t xml:space="preserve">Regolamento generale sulla protezione dei dati – Regolamento EU 679/2016, disponibili al link: </w:t>
      </w:r>
      <w:hyperlink r:id="rId16" w:history="1">
        <w:r w:rsidRPr="00BF4C23">
          <w:rPr>
            <w:rStyle w:val="Collegamentoipertestuale"/>
            <w:rFonts w:ascii="Century Gothic" w:hAnsi="Century Gothic"/>
            <w:sz w:val="20"/>
            <w:szCs w:val="20"/>
          </w:rPr>
          <w:t>https://www.polito.it/privacy/</w:t>
        </w:r>
      </w:hyperlink>
    </w:p>
    <w:p w:rsidR="00AE3E18" w:rsidRPr="00CA4EF4" w:rsidRDefault="00AE3E18" w:rsidP="003C0BCF">
      <w:pPr>
        <w:pStyle w:val="Paragrafoelenco"/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A4EF4">
        <w:rPr>
          <w:rFonts w:ascii="Century Gothic" w:hAnsi="Century Gothic"/>
          <w:sz w:val="20"/>
          <w:szCs w:val="20"/>
        </w:rPr>
        <w:tab/>
      </w:r>
      <w:r w:rsidRPr="00CA4EF4">
        <w:rPr>
          <w:rFonts w:ascii="Century Gothic" w:hAnsi="Century Gothic"/>
          <w:sz w:val="20"/>
          <w:szCs w:val="20"/>
        </w:rPr>
        <w:tab/>
      </w:r>
    </w:p>
    <w:p w:rsidR="00AE3E18" w:rsidRPr="00D65F09" w:rsidRDefault="00AE3E18" w:rsidP="00AE3E18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trike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FIRMA </w:t>
      </w:r>
    </w:p>
    <w:p w:rsidR="00557B5F" w:rsidRPr="00D65F09" w:rsidRDefault="00557B5F" w:rsidP="00557B5F">
      <w:pPr>
        <w:spacing w:after="0" w:line="360" w:lineRule="auto"/>
        <w:jc w:val="right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65F09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:rsidR="00557B5F" w:rsidRPr="00D65F09" w:rsidRDefault="00557B5F" w:rsidP="00AE3E18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9B03C5" w:rsidRPr="00D65F09" w:rsidRDefault="00AE3E18" w:rsidP="00BA43C2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</w:t>
      </w:r>
    </w:p>
    <w:p w:rsidR="00CC5DD9" w:rsidRPr="009F5AC3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9F5AC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Note utili alla compilazione:</w:t>
      </w:r>
    </w:p>
    <w:p w:rsidR="00CC5DD9" w:rsidRPr="008C1797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</w:rPr>
        <w:t xml:space="preserve">La presente dichiarazione deve essere resa e </w:t>
      </w:r>
      <w:r w:rsidRPr="00C8132F">
        <w:rPr>
          <w:rFonts w:ascii="Century Gothic" w:hAnsi="Century Gothic"/>
          <w:b/>
          <w:sz w:val="20"/>
          <w:szCs w:val="20"/>
        </w:rPr>
        <w:t>sottoscritta digitalmente</w:t>
      </w:r>
      <w:r w:rsidRPr="00C8132F">
        <w:rPr>
          <w:rFonts w:ascii="Century Gothic" w:hAnsi="Century Gothic"/>
          <w:sz w:val="20"/>
          <w:szCs w:val="20"/>
        </w:rPr>
        <w:t xml:space="preserve"> dai concorrenti, in qualsiasi </w:t>
      </w:r>
      <w:r w:rsidRPr="008C1797">
        <w:rPr>
          <w:rFonts w:ascii="Century Gothic" w:hAnsi="Century Gothic"/>
          <w:sz w:val="20"/>
          <w:szCs w:val="20"/>
        </w:rPr>
        <w:t>forma di partecipazione, singoli, raggruppati, ognuno per quanto di propria competenza.</w:t>
      </w:r>
    </w:p>
    <w:p w:rsidR="00CC5DD9" w:rsidRPr="008C1797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</w:t>
      </w:r>
      <w:r w:rsidRPr="00791492">
        <w:rPr>
          <w:rFonts w:ascii="Century Gothic" w:hAnsi="Century Gothic"/>
          <w:sz w:val="20"/>
          <w:szCs w:val="20"/>
        </w:rPr>
        <w:t xml:space="preserve">del concorrente o da un suo procuratore munito della relativa procura, secondo le modalità indicate al </w:t>
      </w:r>
      <w:r w:rsidRPr="00B94F38">
        <w:rPr>
          <w:rFonts w:ascii="Century Gothic" w:hAnsi="Century Gothic"/>
          <w:sz w:val="20"/>
          <w:szCs w:val="20"/>
        </w:rPr>
        <w:t>par. 1</w:t>
      </w:r>
      <w:r w:rsidR="00CE2FC8">
        <w:rPr>
          <w:rFonts w:ascii="Century Gothic" w:hAnsi="Century Gothic"/>
          <w:sz w:val="20"/>
          <w:szCs w:val="20"/>
        </w:rPr>
        <w:t>4</w:t>
      </w:r>
      <w:bookmarkStart w:id="1" w:name="_GoBack"/>
      <w:bookmarkEnd w:id="1"/>
      <w:r w:rsidRPr="00B94F38">
        <w:rPr>
          <w:rFonts w:ascii="Century Gothic" w:hAnsi="Century Gothic"/>
          <w:sz w:val="20"/>
          <w:szCs w:val="20"/>
        </w:rPr>
        <w:t>.1 del</w:t>
      </w:r>
      <w:r>
        <w:rPr>
          <w:rFonts w:ascii="Century Gothic" w:hAnsi="Century Gothic"/>
          <w:sz w:val="20"/>
          <w:szCs w:val="20"/>
        </w:rPr>
        <w:t xml:space="preserve"> disciplinare di gara. </w:t>
      </w:r>
    </w:p>
    <w:p w:rsidR="00CC5DD9" w:rsidRPr="00DF7B52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>La</w:t>
      </w:r>
      <w:r w:rsidRPr="008C1797">
        <w:rPr>
          <w:rFonts w:ascii="Century Gothic" w:hAnsi="Century Gothic"/>
          <w:i/>
          <w:sz w:val="20"/>
          <w:szCs w:val="20"/>
        </w:rPr>
        <w:t xml:space="preserve"> </w:t>
      </w:r>
      <w:r w:rsidRPr="008C1797"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p w:rsidR="009B03C5" w:rsidRPr="00D65F09" w:rsidRDefault="009B03C5">
      <w:pPr>
        <w:rPr>
          <w:rFonts w:ascii="Century Gothic" w:hAnsi="Century Gothic"/>
          <w:sz w:val="20"/>
          <w:szCs w:val="20"/>
        </w:rPr>
      </w:pPr>
    </w:p>
    <w:sectPr w:rsidR="009B03C5" w:rsidRPr="00D65F09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3C" w:rsidRDefault="0025473C" w:rsidP="00987C53">
      <w:pPr>
        <w:spacing w:after="0" w:line="240" w:lineRule="auto"/>
      </w:pPr>
      <w:r>
        <w:separator/>
      </w:r>
    </w:p>
  </w:endnote>
  <w:end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3510945"/>
      <w:docPartObj>
        <w:docPartGallery w:val="Page Numbers (Bottom of Page)"/>
        <w:docPartUnique/>
      </w:docPartObj>
    </w:sdtPr>
    <w:sdtEndPr/>
    <w:sdtContent>
      <w:p w:rsidR="002706F1" w:rsidRDefault="002706F1">
        <w:pPr>
          <w:pStyle w:val="Pidipagina"/>
          <w:jc w:val="center"/>
        </w:pPr>
      </w:p>
      <w:p w:rsidR="002706F1" w:rsidRDefault="002706F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706F1" w:rsidRDefault="002706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3C" w:rsidRDefault="0025473C" w:rsidP="00987C53">
      <w:pPr>
        <w:spacing w:after="0" w:line="240" w:lineRule="auto"/>
      </w:pPr>
      <w:r>
        <w:separator/>
      </w:r>
    </w:p>
  </w:footnote>
  <w:foot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44970DC"/>
    <w:multiLevelType w:val="hybridMultilevel"/>
    <w:tmpl w:val="46E4F4F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1590"/>
    <w:multiLevelType w:val="hybridMultilevel"/>
    <w:tmpl w:val="90C6A6EA"/>
    <w:lvl w:ilvl="0" w:tplc="59E072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4403B"/>
    <w:multiLevelType w:val="hybridMultilevel"/>
    <w:tmpl w:val="A87C2662"/>
    <w:lvl w:ilvl="0" w:tplc="C7D821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67C"/>
    <w:rsid w:val="00006897"/>
    <w:rsid w:val="00034A9C"/>
    <w:rsid w:val="00057B4C"/>
    <w:rsid w:val="00080121"/>
    <w:rsid w:val="00094F7C"/>
    <w:rsid w:val="0009688E"/>
    <w:rsid w:val="000B3A3D"/>
    <w:rsid w:val="000C225B"/>
    <w:rsid w:val="000D5BE7"/>
    <w:rsid w:val="000E35F4"/>
    <w:rsid w:val="001113CC"/>
    <w:rsid w:val="001724D3"/>
    <w:rsid w:val="001A25F9"/>
    <w:rsid w:val="00235B09"/>
    <w:rsid w:val="0025473C"/>
    <w:rsid w:val="002706F1"/>
    <w:rsid w:val="00300652"/>
    <w:rsid w:val="00386440"/>
    <w:rsid w:val="003C0BCF"/>
    <w:rsid w:val="003C2DC2"/>
    <w:rsid w:val="003F5A3D"/>
    <w:rsid w:val="004847F1"/>
    <w:rsid w:val="0050478F"/>
    <w:rsid w:val="0050601A"/>
    <w:rsid w:val="00521EE0"/>
    <w:rsid w:val="00557B5F"/>
    <w:rsid w:val="00584DAD"/>
    <w:rsid w:val="005905D8"/>
    <w:rsid w:val="006507A8"/>
    <w:rsid w:val="006607C2"/>
    <w:rsid w:val="0068358F"/>
    <w:rsid w:val="006E4E50"/>
    <w:rsid w:val="00764E17"/>
    <w:rsid w:val="007816A6"/>
    <w:rsid w:val="007A068F"/>
    <w:rsid w:val="007B43D3"/>
    <w:rsid w:val="007E21E4"/>
    <w:rsid w:val="008055AE"/>
    <w:rsid w:val="00843A56"/>
    <w:rsid w:val="00855492"/>
    <w:rsid w:val="00890D58"/>
    <w:rsid w:val="008A58F3"/>
    <w:rsid w:val="009207CB"/>
    <w:rsid w:val="00987C53"/>
    <w:rsid w:val="009B03C5"/>
    <w:rsid w:val="009D463B"/>
    <w:rsid w:val="009F1A90"/>
    <w:rsid w:val="009F5AC3"/>
    <w:rsid w:val="00A02C51"/>
    <w:rsid w:val="00A24D6E"/>
    <w:rsid w:val="00A6454C"/>
    <w:rsid w:val="00A67973"/>
    <w:rsid w:val="00AE3E18"/>
    <w:rsid w:val="00AE3E82"/>
    <w:rsid w:val="00B025BE"/>
    <w:rsid w:val="00B02FBE"/>
    <w:rsid w:val="00B245FD"/>
    <w:rsid w:val="00B2667C"/>
    <w:rsid w:val="00B755C0"/>
    <w:rsid w:val="00B80F43"/>
    <w:rsid w:val="00B94F38"/>
    <w:rsid w:val="00BA43C2"/>
    <w:rsid w:val="00BB13B7"/>
    <w:rsid w:val="00BD19F4"/>
    <w:rsid w:val="00BE664E"/>
    <w:rsid w:val="00C02D90"/>
    <w:rsid w:val="00C83D8A"/>
    <w:rsid w:val="00CA4EF4"/>
    <w:rsid w:val="00CA5C4E"/>
    <w:rsid w:val="00CC5DD9"/>
    <w:rsid w:val="00CE2FC8"/>
    <w:rsid w:val="00D3303C"/>
    <w:rsid w:val="00D640C7"/>
    <w:rsid w:val="00D65F09"/>
    <w:rsid w:val="00D95B4E"/>
    <w:rsid w:val="00DB01F5"/>
    <w:rsid w:val="00DC2CC6"/>
    <w:rsid w:val="00E042EA"/>
    <w:rsid w:val="00E33BDE"/>
    <w:rsid w:val="00E6077A"/>
    <w:rsid w:val="00E62CBC"/>
    <w:rsid w:val="00EB15DF"/>
    <w:rsid w:val="00EC67D2"/>
    <w:rsid w:val="00ED1950"/>
    <w:rsid w:val="00F05493"/>
    <w:rsid w:val="00F65C6A"/>
    <w:rsid w:val="00F96239"/>
    <w:rsid w:val="00FA2DF2"/>
    <w:rsid w:val="00FA5BB4"/>
    <w:rsid w:val="00FB09E4"/>
    <w:rsid w:val="00FB2217"/>
    <w:rsid w:val="00FB6A74"/>
    <w:rsid w:val="00FC67FA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4E04"/>
  <w15:docId w15:val="{F93E5C03-AB51-4F65-A095-C3D8918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  <w:style w:type="character" w:customStyle="1" w:styleId="normaltextrun">
    <w:name w:val="normaltextrun"/>
    <w:basedOn w:val="Carpredefinitoparagrafo"/>
    <w:rsid w:val="00A6454C"/>
  </w:style>
  <w:style w:type="character" w:customStyle="1" w:styleId="eop">
    <w:name w:val="eop"/>
    <w:basedOn w:val="Carpredefinitoparagrafo"/>
    <w:rsid w:val="00A6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olito.it/privac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9115-FB88-4DD4-A601-61827BCF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Maria  Stefanelli</cp:lastModifiedBy>
  <cp:revision>98</cp:revision>
  <dcterms:created xsi:type="dcterms:W3CDTF">2018-05-17T12:43:00Z</dcterms:created>
  <dcterms:modified xsi:type="dcterms:W3CDTF">2023-06-06T06:43:00Z</dcterms:modified>
</cp:coreProperties>
</file>